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C3603" w14:textId="7F56E4F0" w:rsidR="00793F27" w:rsidRDefault="007326B3" w:rsidP="00C009D8">
      <w:pPr>
        <w:jc w:val="center"/>
      </w:pPr>
      <w:r>
        <w:t>Supplementary Document</w:t>
      </w:r>
      <w:r w:rsidR="00713ECE">
        <w:t xml:space="preserve"> I</w:t>
      </w:r>
    </w:p>
    <w:p w14:paraId="174ADD02" w14:textId="77777777" w:rsidR="00D4037D" w:rsidRDefault="00D4037D"/>
    <w:p w14:paraId="34577CAE" w14:textId="77777777" w:rsidR="00210CAD" w:rsidRPr="00210CAD" w:rsidRDefault="00210CAD" w:rsidP="00210CAD">
      <w:r w:rsidRPr="00210CAD">
        <w:rPr>
          <w:b/>
          <w:bCs/>
        </w:rPr>
        <w:t>Eligibility Criteria, to be assessed at screening visit:</w:t>
      </w:r>
    </w:p>
    <w:p w14:paraId="717DC653" w14:textId="6D9060E2" w:rsidR="00210CAD" w:rsidRPr="00210CAD" w:rsidRDefault="00210CAD" w:rsidP="00210CAD">
      <w:r w:rsidRPr="00210CAD">
        <w:rPr>
          <w:u w:val="single"/>
        </w:rPr>
        <w:t>Inclusion Criteria:</w:t>
      </w:r>
    </w:p>
    <w:p w14:paraId="012E5405" w14:textId="4BBC6BDA" w:rsidR="00210CAD" w:rsidRPr="00210CAD" w:rsidRDefault="00210CAD" w:rsidP="00210CAD">
      <w:r w:rsidRPr="00210CAD">
        <w:t xml:space="preserve">1.     Signed </w:t>
      </w:r>
      <w:r>
        <w:t>Informed Consent Form</w:t>
      </w:r>
    </w:p>
    <w:p w14:paraId="6959ECA6" w14:textId="77777777" w:rsidR="00210CAD" w:rsidRPr="00210CAD" w:rsidRDefault="00210CAD" w:rsidP="00210CAD">
      <w:r w:rsidRPr="00210CAD">
        <w:t>2.     Diagnosis of solid or liquid cancer made ≥ 1 year at any stage in cancer survivorship (specifically, active cancer treatment or no cancer-directed therapy either in clinical remission or with advanced disease)</w:t>
      </w:r>
    </w:p>
    <w:p w14:paraId="39D89C49" w14:textId="77777777" w:rsidR="00210CAD" w:rsidRPr="00210CAD" w:rsidRDefault="00210CAD" w:rsidP="00210CAD">
      <w:r w:rsidRPr="00210CAD">
        <w:t>3.     Prognosis of greater than six months as determined by their primary oncologist, </w:t>
      </w:r>
    </w:p>
    <w:p w14:paraId="45F064C0" w14:textId="3324C3CD" w:rsidR="00210CAD" w:rsidRPr="00210CAD" w:rsidRDefault="00210CAD" w:rsidP="00210CAD">
      <w:r w:rsidRPr="00210CAD">
        <w:t>4.     Moderate-to-severe demoralization (score of ≥ 10 on the Demoralization Scale-II (DS-II))</w:t>
      </w:r>
      <w:r w:rsidR="00007737">
        <w:t xml:space="preserve"> </w:t>
      </w:r>
      <w:r w:rsidR="00007737">
        <w:fldChar w:fldCharType="begin"/>
      </w:r>
      <w:r w:rsidR="00007737">
        <w:instrText xml:space="preserve"> ADDIN ZOTERO_ITEM CSL_CITATION {"citationID":"rATIPjKA","properties":{"formattedCitation":"(Robinson et al., 2016)","plainCitation":"(Robinson et al., 2016)","noteIndex":0},"citationItems":[{"id":12303,"uris":["http://zotero.org/users/143706/items/XTFQLHBX"],"itemData":{"id":12303,"type":"article-journal","abstract":"BACKGROUND The Demoralization Scale (DS) was initially validated in 2004 to enable the measurement of demoralization in patients with advanced cancer. Subsequent shortcomings indicated the need for psychometric strengthening. Here, the authors report on the refinement and revalidation of the DS to form the DS-II, specifically reporting the scale's internal validity. METHODS Patients with cancer or other progressive diseases who were receiving palliative care (n = 211) completed a revised version of the 24-item DS and a measure of symptom burden (the Memorial Symptom Assessment Scale). Exploratory factor analysis and Rasch modeling were used to evaluate, modify, and revalidate the scale, providing information about dimensionality, suitability of response format, item fit, item bias, and item difficulty. Test-retest reliability was examined for 58 symptomatically stable patients at a 5-day follow-up. RESULTS Exploratory factor analysis supported a 22-item, 2-component model. Separate Rasch modeling of each component resulted in collapsing the response option categories and removing 3 items from each component. Both final 8-item subscales met Rasch model expectations and were appropriate to sum as a 16-item total score. The DS-II demonstrated internal consistency and test-retest reliability (Meaning and Purpose subscale: α = .84; intraclass correlation [ICC] = 0.68; Distress and Coping Ability subscale: α = .82; ICC = 0.82; total DS: α = .89; ICC = 0.80). CONCLUSIONS The DS-II is a 3-point response, self-report scale comprising 16 items and 2 subscales. Given its revalidation, psychometric strengthening, and simplification, the DS-II is an improved and more practical measure of demoralization for research and clinical use. External validation of the DS-II will be reported subsequently. Cancer 2016;122:2251–9. © 2016 American Cancer Society.","container-title":"Cancer","DOI":"10.1002/cncr.30015","ISSN":"1097-0142","issue":"14","language":"en","license":"© 2016 American Cancer Society","note":"_eprint: https://onlinelibrary.wiley.com/doi/pdf/10.1002/cncr.30015","page":"2251-2259","source":"Wiley Online Library","title":"Refinement and revalidation of the demoralization scale: The DS-II—internal validity","title-short":"Refinement and revalidation of the demoralization scale","volume":"122","author":[{"family":"Robinson","given":"Sophie"},{"family":"Kissane","given":"David W."},{"family":"Brooker","given":"Joanne"},{"family":"Michael","given":"Natasha"},{"family":"Fischer","given":"Jane"},{"family":"Franco","given":"Michael"},{"family":"Hempton","given":"Courtney"},{"family":"Sulistio","given":"Merlina"},{"family":"Pallant","given":"Julie F."},{"family":"Clarke","given":"David M."},{"family":"Burney","given":"Susan"}],"issued":{"date-parts":[["2016"]]}}}],"schema":"https://github.com/citation-style-language/schema/raw/master/csl-citation.json"} </w:instrText>
      </w:r>
      <w:r w:rsidR="00007737">
        <w:fldChar w:fldCharType="separate"/>
      </w:r>
      <w:r w:rsidR="00007737" w:rsidRPr="00007737">
        <w:rPr>
          <w:rFonts w:ascii="Aptos" w:hAnsi="Aptos"/>
        </w:rPr>
        <w:t>(Robinson et al., 2016)</w:t>
      </w:r>
      <w:r w:rsidR="00007737">
        <w:fldChar w:fldCharType="end"/>
      </w:r>
      <w:r w:rsidRPr="00210CAD">
        <w:t>, </w:t>
      </w:r>
    </w:p>
    <w:p w14:paraId="7E59C79C" w14:textId="1171047C" w:rsidR="00007737" w:rsidRPr="00210CAD" w:rsidRDefault="00210CAD" w:rsidP="00210CAD">
      <w:r w:rsidRPr="00210CAD">
        <w:t>5.     Chronic pain (pain lasting &gt; 3 months per patient report) and score of ≥ 5 for average pain level on Brief Pain Inventory</w:t>
      </w:r>
      <w:r w:rsidR="00007737">
        <w:t xml:space="preserve"> </w:t>
      </w:r>
      <w:r w:rsidR="00007737">
        <w:fldChar w:fldCharType="begin"/>
      </w:r>
      <w:r w:rsidR="00007737">
        <w:instrText xml:space="preserve"> ADDIN ZOTERO_ITEM CSL_CITATION {"citationID":"TwurJvWw","properties":{"formattedCitation":"(Cleeland, 1989)","plainCitation":"(Cleeland, 1989)","noteIndex":0},"citationItems":[{"id":12311,"uris":["http://zotero.org/users/143706/items/GW6BQXAW"],"itemData":{"id":12311,"type":"chapter","container-title":"Advances in Pain Research and Therapy","page":"391-403","publisher":"Raven Press","title":"Measurement of pain by subjective report","volume":"12","author":[{"family":"Cleeland","given":"Charles S."}],"editor":[{"family":"Chapman","given":"C. R."},{"family":"Loeser","given":"J. D."}],"issued":{"date-parts":[["1989"]]}}}],"schema":"https://github.com/citation-style-language/schema/raw/master/csl-citation.json"} </w:instrText>
      </w:r>
      <w:r w:rsidR="00007737">
        <w:fldChar w:fldCharType="separate"/>
      </w:r>
      <w:r w:rsidR="00007737" w:rsidRPr="00007737">
        <w:rPr>
          <w:rFonts w:ascii="Aptos" w:hAnsi="Aptos"/>
        </w:rPr>
        <w:t>(Cleeland, 1989)</w:t>
      </w:r>
      <w:r w:rsidR="00007737">
        <w:fldChar w:fldCharType="end"/>
      </w:r>
    </w:p>
    <w:p w14:paraId="270432CE" w14:textId="77777777" w:rsidR="00210CAD" w:rsidRPr="00210CAD" w:rsidRDefault="00210CAD" w:rsidP="00210CAD">
      <w:r w:rsidRPr="00210CAD">
        <w:t>6.     Age ≥ 26 years old and ≤ 85 years old </w:t>
      </w:r>
    </w:p>
    <w:p w14:paraId="671DCBBF" w14:textId="77777777" w:rsidR="00210CAD" w:rsidRPr="00210CAD" w:rsidRDefault="00210CAD" w:rsidP="00210CAD">
      <w:r w:rsidRPr="00210CAD">
        <w:t>7.     Availability of a friend or family member into whose care the participant can be released following the drug administration session. </w:t>
      </w:r>
    </w:p>
    <w:p w14:paraId="7D1E4017" w14:textId="77777777" w:rsidR="00210CAD" w:rsidRPr="00210CAD" w:rsidRDefault="00210CAD" w:rsidP="00210CAD">
      <w:r w:rsidRPr="00210CAD">
        <w:br/>
      </w:r>
      <w:r w:rsidRPr="00210CAD">
        <w:rPr>
          <w:u w:val="single"/>
        </w:rPr>
        <w:t>Exclusion Criteria:</w:t>
      </w:r>
    </w:p>
    <w:p w14:paraId="0C8DAD2B" w14:textId="77777777" w:rsidR="00210CAD" w:rsidRPr="00210CAD" w:rsidRDefault="00210CAD" w:rsidP="00210CAD">
      <w:r w:rsidRPr="00210CAD">
        <w:t> </w:t>
      </w:r>
    </w:p>
    <w:p w14:paraId="3238F302" w14:textId="77777777" w:rsidR="00210CAD" w:rsidRPr="00210CAD" w:rsidRDefault="00210CAD" w:rsidP="00210CAD">
      <w:r w:rsidRPr="00210CAD">
        <w:t>1.     Pregnancy or breastfeeding</w:t>
      </w:r>
    </w:p>
    <w:p w14:paraId="4DCF69E5" w14:textId="77777777" w:rsidR="00210CAD" w:rsidRPr="00210CAD" w:rsidRDefault="00210CAD" w:rsidP="00210CAD">
      <w:r w:rsidRPr="00210CAD">
        <w:t>2.     Women of childbearing potential (i.e., not permanently sterilized, not postmenopausal) who decline to use a highly effective dual contraceptive method for the duration of the study.  Dual contraceptive method use is defined by a use a barrier contraceptive in addition to another method to prevent pregnancy, including sterilization, hormonal methods, intrauterine devices, and hormonal pills. </w:t>
      </w:r>
    </w:p>
    <w:p w14:paraId="291E4BB0" w14:textId="77777777" w:rsidR="00210CAD" w:rsidRPr="00210CAD" w:rsidRDefault="00210CAD" w:rsidP="00210CAD">
      <w:r w:rsidRPr="00210CAD">
        <w:t>3.     Age &lt; 26 years old and &gt; 85 years old </w:t>
      </w:r>
    </w:p>
    <w:p w14:paraId="0A4A5C15" w14:textId="77777777" w:rsidR="00210CAD" w:rsidRPr="00210CAD" w:rsidRDefault="00210CAD" w:rsidP="00210CAD">
      <w:r w:rsidRPr="00210CAD">
        <w:t>4.     Poor functional status (Eastern Cooperative Oncology Group (ECOG) score of ≥ 3) </w:t>
      </w:r>
    </w:p>
    <w:p w14:paraId="61BB4D7F" w14:textId="77777777" w:rsidR="00210CAD" w:rsidRPr="00210CAD" w:rsidRDefault="00210CAD" w:rsidP="00210CAD">
      <w:r w:rsidRPr="00210CAD">
        <w:t>5.     Major cognitive impairment as determined by principal investigator </w:t>
      </w:r>
    </w:p>
    <w:p w14:paraId="6998DFFE" w14:textId="77777777" w:rsidR="00210CAD" w:rsidRPr="00210CAD" w:rsidRDefault="00210CAD" w:rsidP="00210CAD">
      <w:r w:rsidRPr="00210CAD">
        <w:t>6.     Non-fluency in the English language</w:t>
      </w:r>
    </w:p>
    <w:p w14:paraId="28D611D4" w14:textId="77777777" w:rsidR="00210CAD" w:rsidRPr="00210CAD" w:rsidRDefault="00210CAD" w:rsidP="00210CAD">
      <w:r w:rsidRPr="00210CAD">
        <w:t>7.     Personal history of a psychotic disorder or bipolar disorder  type I/II</w:t>
      </w:r>
    </w:p>
    <w:p w14:paraId="3776C3D7" w14:textId="77777777" w:rsidR="00210CAD" w:rsidRPr="00210CAD" w:rsidRDefault="00210CAD" w:rsidP="00210CAD">
      <w:r w:rsidRPr="00210CAD">
        <w:t>8.     Active suicidal ideation with intent in the last 3 months (Columbia Suicide Severity Rating Scale suicidal ideation score &gt;3) or any suicide attempt in the past year.</w:t>
      </w:r>
    </w:p>
    <w:p w14:paraId="6243D011" w14:textId="77777777" w:rsidR="00210CAD" w:rsidRPr="00210CAD" w:rsidRDefault="00210CAD" w:rsidP="00210CAD">
      <w:r w:rsidRPr="00210CAD">
        <w:lastRenderedPageBreak/>
        <w:t>9.     Current substance use disorder (i.e., present in last six months), excluding tobacco use disorder, of greater than mild severity as defined by Diagnostic and Statistical Manual of Mental Disorders (DSM-V).  </w:t>
      </w:r>
    </w:p>
    <w:p w14:paraId="5E920885" w14:textId="77777777" w:rsidR="00210CAD" w:rsidRPr="00210CAD" w:rsidRDefault="00210CAD" w:rsidP="00210CAD">
      <w:r w:rsidRPr="00210CAD">
        <w:t>10.  History of a seizure disorder in adulthood</w:t>
      </w:r>
    </w:p>
    <w:p w14:paraId="235DC92F" w14:textId="77777777" w:rsidR="00210CAD" w:rsidRPr="00210CAD" w:rsidRDefault="00210CAD" w:rsidP="00210CAD">
      <w:r w:rsidRPr="00210CAD">
        <w:t>11.  Active central nervous system (CNS) metastases or symptomatic CNS infection. </w:t>
      </w:r>
    </w:p>
    <w:p w14:paraId="5FFBD502" w14:textId="77777777" w:rsidR="00210CAD" w:rsidRPr="00210CAD" w:rsidRDefault="00210CAD" w:rsidP="00210CAD">
      <w:r w:rsidRPr="00210CAD">
        <w:t>12.  Uncontrolled hypertension (mean blood pressure (mmHg) exceeding 139 systolic and 89 diastolic) and heart rate exceeding 90 beats per minute.</w:t>
      </w:r>
    </w:p>
    <w:p w14:paraId="5B278BC3" w14:textId="77777777" w:rsidR="00210CAD" w:rsidRPr="00210CAD" w:rsidRDefault="00210CAD" w:rsidP="00210CAD">
      <w:r w:rsidRPr="00210CAD">
        <w:t>13.  Clinically significant cardiovascular disease (coronary artery disease, congestive heart failure, arrhythmia, or QTc&gt;450ms) </w:t>
      </w:r>
    </w:p>
    <w:p w14:paraId="1729901C" w14:textId="77777777" w:rsidR="00210CAD" w:rsidRPr="00210CAD" w:rsidRDefault="00210CAD" w:rsidP="00210CAD">
      <w:r w:rsidRPr="00210CAD">
        <w:t>14.  Supplemental oxygen requirement </w:t>
      </w:r>
    </w:p>
    <w:p w14:paraId="308A349A" w14:textId="77777777" w:rsidR="00210CAD" w:rsidRPr="00210CAD" w:rsidRDefault="00210CAD" w:rsidP="00210CAD">
      <w:r w:rsidRPr="00210CAD">
        <w:t>15.  Body Mass Index ≤18 </w:t>
      </w:r>
    </w:p>
    <w:p w14:paraId="4110B4CA" w14:textId="77777777" w:rsidR="00210CAD" w:rsidRPr="00210CAD" w:rsidRDefault="00210CAD" w:rsidP="00210CAD">
      <w:r w:rsidRPr="00210CAD">
        <w:t>16.  Renal insufficiency as evidenced by creatinine clearance (CrCl) &lt;30 mL/min</w:t>
      </w:r>
    </w:p>
    <w:p w14:paraId="38F46FBE" w14:textId="77777777" w:rsidR="00210CAD" w:rsidRPr="00210CAD" w:rsidRDefault="00210CAD" w:rsidP="00210CAD">
      <w:r w:rsidRPr="00210CAD">
        <w:t>17.  Concomitant use of drugs known to interact with psilocybin (probenecid, diclofenac)</w:t>
      </w:r>
    </w:p>
    <w:p w14:paraId="146F9502" w14:textId="77777777" w:rsidR="00210CAD" w:rsidRPr="00210CAD" w:rsidRDefault="00210CAD" w:rsidP="00210CAD">
      <w:r w:rsidRPr="00210CAD">
        <w:t>18.  Consistent use of serotonergic drugs including selective serotonin reuptake inhibitors (SSRIs), serotonin-norepinephrine reuptake inhibitors (SNRIs), or efavirenz, as well as monoamine oxidase inhibitors (MAOIs).  Subjects using any other antidepressant, stimulant, or antipsychotic medications on Day 0 (baseline visit) may be allowed to enroll in the study if they elect to taper off the medications under medical supervision by the PI and the study psycho-oncologist (PO) by the day prior to the baseline visit </w:t>
      </w:r>
    </w:p>
    <w:p w14:paraId="17B41E0F" w14:textId="77777777" w:rsidR="00210CAD" w:rsidRPr="00210CAD" w:rsidRDefault="00210CAD" w:rsidP="00210CAD">
      <w:r w:rsidRPr="00210CAD">
        <w:t>19.  Considered by the principal investigator to be inappropriate for the study due to safety or to be unlikely to complete the protocol.  </w:t>
      </w:r>
    </w:p>
    <w:p w14:paraId="4F003E96" w14:textId="77777777" w:rsidR="00D4037D" w:rsidRDefault="00D4037D"/>
    <w:p w14:paraId="73EFC44C" w14:textId="77777777" w:rsidR="007E6542" w:rsidRDefault="007E6542">
      <w:r>
        <w:br w:type="page"/>
      </w:r>
    </w:p>
    <w:p w14:paraId="0EB2E30B" w14:textId="5B5BF955" w:rsidR="00DD1540" w:rsidRDefault="00DD1540">
      <w:r>
        <w:lastRenderedPageBreak/>
        <w:t xml:space="preserve">Table 1. </w:t>
      </w:r>
      <w:r w:rsidR="00F765DD">
        <w:t>Patient</w:t>
      </w:r>
      <w:r>
        <w:t xml:space="preserve"> Characteristics</w:t>
      </w:r>
    </w:p>
    <w:tbl>
      <w:tblPr>
        <w:tblStyle w:val="TableGrid"/>
        <w:tblW w:w="0" w:type="auto"/>
        <w:tblLook w:val="04A0" w:firstRow="1" w:lastRow="0" w:firstColumn="1" w:lastColumn="0" w:noHBand="0" w:noVBand="1"/>
      </w:tblPr>
      <w:tblGrid>
        <w:gridCol w:w="2965"/>
        <w:gridCol w:w="6385"/>
      </w:tblGrid>
      <w:tr w:rsidR="00DD1540" w14:paraId="6324C811" w14:textId="77777777" w:rsidTr="00571923">
        <w:tc>
          <w:tcPr>
            <w:tcW w:w="2965" w:type="dxa"/>
          </w:tcPr>
          <w:p w14:paraId="0E681C2D" w14:textId="3D24D4F3" w:rsidR="00DD1540" w:rsidRDefault="00DD1540">
            <w:bookmarkStart w:id="0" w:name="_Hlk161474797"/>
            <w:r>
              <w:t>Variable</w:t>
            </w:r>
          </w:p>
        </w:tc>
        <w:tc>
          <w:tcPr>
            <w:tcW w:w="6385" w:type="dxa"/>
          </w:tcPr>
          <w:p w14:paraId="4B0D9548" w14:textId="442BD60E" w:rsidR="00DD1540" w:rsidRDefault="005E473C" w:rsidP="000B106F">
            <w:r>
              <w:t>Descriptive statistics</w:t>
            </w:r>
          </w:p>
        </w:tc>
      </w:tr>
      <w:tr w:rsidR="00DD1540" w14:paraId="340E0960" w14:textId="77777777" w:rsidTr="00571923">
        <w:tc>
          <w:tcPr>
            <w:tcW w:w="2965" w:type="dxa"/>
          </w:tcPr>
          <w:p w14:paraId="63C7301D" w14:textId="219627DD" w:rsidR="00DD1540" w:rsidRDefault="00DD1540">
            <w:r>
              <w:t>Age: M (SD), range</w:t>
            </w:r>
          </w:p>
        </w:tc>
        <w:tc>
          <w:tcPr>
            <w:tcW w:w="6385" w:type="dxa"/>
          </w:tcPr>
          <w:p w14:paraId="6B8DA55E" w14:textId="33475905" w:rsidR="00DD1540" w:rsidRDefault="00DD1540">
            <w:r>
              <w:t>53.9</w:t>
            </w:r>
            <w:r w:rsidR="005B6190">
              <w:t>0</w:t>
            </w:r>
            <w:r>
              <w:t xml:space="preserve"> (12.84)</w:t>
            </w:r>
            <w:r w:rsidR="008042F0">
              <w:t xml:space="preserve">, </w:t>
            </w:r>
            <w:r w:rsidR="005E473C">
              <w:t>29-69</w:t>
            </w:r>
          </w:p>
        </w:tc>
      </w:tr>
      <w:tr w:rsidR="00DD1540" w14:paraId="64F87868" w14:textId="77777777" w:rsidTr="00571923">
        <w:tc>
          <w:tcPr>
            <w:tcW w:w="2965" w:type="dxa"/>
          </w:tcPr>
          <w:p w14:paraId="4CF8F99D" w14:textId="547A9CAB" w:rsidR="00DD1540" w:rsidRDefault="005E473C">
            <w:r>
              <w:t>Gender</w:t>
            </w:r>
          </w:p>
        </w:tc>
        <w:tc>
          <w:tcPr>
            <w:tcW w:w="6385" w:type="dxa"/>
          </w:tcPr>
          <w:p w14:paraId="068CDC9F" w14:textId="2405D387" w:rsidR="00DD1540" w:rsidRDefault="005E473C">
            <w:r>
              <w:t>7 female, 3 male</w:t>
            </w:r>
          </w:p>
        </w:tc>
      </w:tr>
      <w:tr w:rsidR="00DD1540" w14:paraId="200858E5" w14:textId="77777777" w:rsidTr="00571923">
        <w:tc>
          <w:tcPr>
            <w:tcW w:w="2965" w:type="dxa"/>
          </w:tcPr>
          <w:p w14:paraId="23E7C1C9" w14:textId="445529FB" w:rsidR="00DD1540" w:rsidRDefault="005E473C">
            <w:r>
              <w:t>Race</w:t>
            </w:r>
          </w:p>
        </w:tc>
        <w:tc>
          <w:tcPr>
            <w:tcW w:w="6385" w:type="dxa"/>
          </w:tcPr>
          <w:p w14:paraId="0D01FB0A" w14:textId="37272556" w:rsidR="00DD1540" w:rsidRDefault="005E473C">
            <w:r>
              <w:t xml:space="preserve">9 White, 1 multi-racial, </w:t>
            </w:r>
          </w:p>
        </w:tc>
      </w:tr>
      <w:tr w:rsidR="005E473C" w14:paraId="5DAE580B" w14:textId="77777777" w:rsidTr="00571923">
        <w:tc>
          <w:tcPr>
            <w:tcW w:w="2965" w:type="dxa"/>
          </w:tcPr>
          <w:p w14:paraId="157D2DE7" w14:textId="6BA66DFA" w:rsidR="005E473C" w:rsidRDefault="005E473C">
            <w:r>
              <w:t>Ethnicity</w:t>
            </w:r>
          </w:p>
        </w:tc>
        <w:tc>
          <w:tcPr>
            <w:tcW w:w="6385" w:type="dxa"/>
          </w:tcPr>
          <w:p w14:paraId="7E56A96B" w14:textId="710CE724" w:rsidR="005E473C" w:rsidRDefault="005E473C">
            <w:r>
              <w:t>10 non-Hispanic</w:t>
            </w:r>
          </w:p>
        </w:tc>
      </w:tr>
      <w:tr w:rsidR="006C0326" w14:paraId="5D77F807" w14:textId="77777777" w:rsidTr="002A3BCD">
        <w:tc>
          <w:tcPr>
            <w:tcW w:w="9350" w:type="dxa"/>
            <w:gridSpan w:val="2"/>
          </w:tcPr>
          <w:p w14:paraId="527B40F6" w14:textId="2CA96AEF" w:rsidR="006C0326" w:rsidRDefault="006C0326">
            <w:r>
              <w:t>Diagnostic Characteristics</w:t>
            </w:r>
          </w:p>
        </w:tc>
      </w:tr>
      <w:tr w:rsidR="005E473C" w14:paraId="218D5258" w14:textId="77777777" w:rsidTr="00571923">
        <w:tc>
          <w:tcPr>
            <w:tcW w:w="2965" w:type="dxa"/>
          </w:tcPr>
          <w:p w14:paraId="152C5A93" w14:textId="7DEA7A5B" w:rsidR="005E473C" w:rsidRDefault="006C0326" w:rsidP="006C0326">
            <w:pPr>
              <w:ind w:left="159" w:hanging="159"/>
            </w:pPr>
            <w:r>
              <w:t>Time since diagnosis in years: M (SD), range</w:t>
            </w:r>
          </w:p>
        </w:tc>
        <w:tc>
          <w:tcPr>
            <w:tcW w:w="6385" w:type="dxa"/>
          </w:tcPr>
          <w:p w14:paraId="619B6562" w14:textId="1956D573" w:rsidR="005E473C" w:rsidRDefault="006C0326">
            <w:r>
              <w:t>8.9</w:t>
            </w:r>
            <w:r w:rsidR="005B6190">
              <w:t>0</w:t>
            </w:r>
            <w:r>
              <w:t xml:space="preserve"> (6.77), 3-17</w:t>
            </w:r>
          </w:p>
        </w:tc>
      </w:tr>
      <w:tr w:rsidR="005E473C" w14:paraId="45416AC6" w14:textId="77777777" w:rsidTr="00571923">
        <w:tc>
          <w:tcPr>
            <w:tcW w:w="2965" w:type="dxa"/>
          </w:tcPr>
          <w:p w14:paraId="66D2987D" w14:textId="7B77B1AF" w:rsidR="005E473C" w:rsidRDefault="00A42050">
            <w:bookmarkStart w:id="1" w:name="_Hlk173658908"/>
            <w:r>
              <w:t>Cancer type</w:t>
            </w:r>
            <w:r w:rsidR="006F1313">
              <w:t xml:space="preserve"> and related syndromes</w:t>
            </w:r>
          </w:p>
        </w:tc>
        <w:tc>
          <w:tcPr>
            <w:tcW w:w="6385" w:type="dxa"/>
          </w:tcPr>
          <w:p w14:paraId="3830DAAA" w14:textId="0BF52B17" w:rsidR="005E473C" w:rsidRDefault="006F1313">
            <w:r>
              <w:t xml:space="preserve">Acute myeloid leukemia, breast cancer, Ewing’s sarcoma, </w:t>
            </w:r>
            <w:bookmarkStart w:id="2" w:name="_Hlk173852910"/>
            <w:r>
              <w:t>multiple myeloma, myelodysplastic syndrome</w:t>
            </w:r>
            <w:bookmarkEnd w:id="2"/>
            <w:r>
              <w:t>, ovarian cancer, peritoneal cancer, solitary plasmacytoma</w:t>
            </w:r>
          </w:p>
        </w:tc>
      </w:tr>
      <w:bookmarkEnd w:id="1"/>
      <w:tr w:rsidR="00571923" w14:paraId="216C8664" w14:textId="77777777" w:rsidTr="00DB763A">
        <w:tc>
          <w:tcPr>
            <w:tcW w:w="9350" w:type="dxa"/>
            <w:gridSpan w:val="2"/>
          </w:tcPr>
          <w:p w14:paraId="3D773657" w14:textId="1E5556D6" w:rsidR="00571923" w:rsidRDefault="00571923">
            <w:r>
              <w:t>Self-report variables at baseline</w:t>
            </w:r>
          </w:p>
        </w:tc>
      </w:tr>
      <w:tr w:rsidR="005E473C" w14:paraId="15BE831D" w14:textId="77777777" w:rsidTr="00571923">
        <w:tc>
          <w:tcPr>
            <w:tcW w:w="2965" w:type="dxa"/>
          </w:tcPr>
          <w:p w14:paraId="250F8036" w14:textId="3DD1CC50" w:rsidR="005E473C" w:rsidRDefault="00571923">
            <w:r>
              <w:t>BPI</w:t>
            </w:r>
          </w:p>
        </w:tc>
        <w:tc>
          <w:tcPr>
            <w:tcW w:w="6385" w:type="dxa"/>
          </w:tcPr>
          <w:p w14:paraId="5EB66145" w14:textId="77777777" w:rsidR="005E473C" w:rsidRDefault="005E473C"/>
        </w:tc>
      </w:tr>
      <w:tr w:rsidR="005E473C" w14:paraId="7C1CEB2D" w14:textId="77777777" w:rsidTr="00571923">
        <w:tc>
          <w:tcPr>
            <w:tcW w:w="2965" w:type="dxa"/>
          </w:tcPr>
          <w:p w14:paraId="24574A84" w14:textId="3DA43D71" w:rsidR="005E473C" w:rsidRDefault="00571923" w:rsidP="00571923">
            <w:pPr>
              <w:ind w:left="159"/>
            </w:pPr>
            <w:r>
              <w:t>Severity: M (SD), range</w:t>
            </w:r>
          </w:p>
        </w:tc>
        <w:tc>
          <w:tcPr>
            <w:tcW w:w="6385" w:type="dxa"/>
          </w:tcPr>
          <w:p w14:paraId="43D2769B" w14:textId="1FB9F56C" w:rsidR="005E473C" w:rsidRDefault="00571923">
            <w:r>
              <w:t>5.89 (1.15), 4-6.75</w:t>
            </w:r>
          </w:p>
        </w:tc>
      </w:tr>
      <w:tr w:rsidR="005E473C" w14:paraId="663C845B" w14:textId="77777777" w:rsidTr="00571923">
        <w:tc>
          <w:tcPr>
            <w:tcW w:w="2965" w:type="dxa"/>
          </w:tcPr>
          <w:p w14:paraId="0A87636F" w14:textId="5978D76F" w:rsidR="005E473C" w:rsidRDefault="00571923" w:rsidP="00571923">
            <w:pPr>
              <w:ind w:left="159"/>
            </w:pPr>
            <w:r>
              <w:t>Interference: M (SD), range</w:t>
            </w:r>
          </w:p>
        </w:tc>
        <w:tc>
          <w:tcPr>
            <w:tcW w:w="6385" w:type="dxa"/>
          </w:tcPr>
          <w:p w14:paraId="06FE562C" w14:textId="35F15660" w:rsidR="005E473C" w:rsidRDefault="005B6190">
            <w:r>
              <w:t>6.80 (1.35)</w:t>
            </w:r>
            <w:r w:rsidR="00F8593A">
              <w:t>, 4.4-8.7</w:t>
            </w:r>
          </w:p>
        </w:tc>
      </w:tr>
      <w:tr w:rsidR="005E473C" w14:paraId="48C0DB45" w14:textId="77777777" w:rsidTr="00571923">
        <w:tc>
          <w:tcPr>
            <w:tcW w:w="2965" w:type="dxa"/>
          </w:tcPr>
          <w:p w14:paraId="44539F13" w14:textId="761D2437" w:rsidR="005E473C" w:rsidRDefault="00571923">
            <w:r>
              <w:t>DS-II</w:t>
            </w:r>
            <w:r w:rsidR="00E4638C">
              <w:t>: M (SD), range</w:t>
            </w:r>
          </w:p>
        </w:tc>
        <w:tc>
          <w:tcPr>
            <w:tcW w:w="6385" w:type="dxa"/>
          </w:tcPr>
          <w:p w14:paraId="570A7F42" w14:textId="1B68B5C0" w:rsidR="005E473C" w:rsidRDefault="00E9514A">
            <w:r>
              <w:t>19.</w:t>
            </w:r>
            <w:r w:rsidR="00C9359A">
              <w:t>8</w:t>
            </w:r>
            <w:r>
              <w:t>0 (</w:t>
            </w:r>
            <w:r w:rsidR="00C9359A">
              <w:t>4.42</w:t>
            </w:r>
            <w:r>
              <w:t xml:space="preserve">), </w:t>
            </w:r>
            <w:r w:rsidR="00C9359A">
              <w:t>12-28</w:t>
            </w:r>
          </w:p>
        </w:tc>
      </w:tr>
      <w:tr w:rsidR="00E14554" w14:paraId="65E588C4" w14:textId="77777777" w:rsidTr="00571923">
        <w:tc>
          <w:tcPr>
            <w:tcW w:w="2965" w:type="dxa"/>
          </w:tcPr>
          <w:p w14:paraId="6B7FE6CD" w14:textId="7FC09B1D" w:rsidR="00E14554" w:rsidRDefault="00E14554" w:rsidP="00E14554">
            <w:pPr>
              <w:ind w:left="160" w:hanging="160"/>
            </w:pPr>
            <w:bookmarkStart w:id="3" w:name="_Hlk173400483"/>
            <w:r>
              <w:t>Interview Duration</w:t>
            </w:r>
            <w:r w:rsidR="00F84D47">
              <w:t xml:space="preserve"> [min:sec]</w:t>
            </w:r>
            <w:r>
              <w:t>: M (SD), range</w:t>
            </w:r>
          </w:p>
        </w:tc>
        <w:tc>
          <w:tcPr>
            <w:tcW w:w="6385" w:type="dxa"/>
          </w:tcPr>
          <w:p w14:paraId="24C648DA" w14:textId="62ECF41F" w:rsidR="00E14554" w:rsidRDefault="00F84D47">
            <w:r>
              <w:t>1:06:21 (19:06), 40:26-</w:t>
            </w:r>
            <w:r w:rsidR="00C806A0">
              <w:t>10</w:t>
            </w:r>
            <w:r>
              <w:t>9:28</w:t>
            </w:r>
          </w:p>
        </w:tc>
      </w:tr>
    </w:tbl>
    <w:bookmarkEnd w:id="0"/>
    <w:bookmarkEnd w:id="3"/>
    <w:p w14:paraId="61AFD03F" w14:textId="1F180F3E" w:rsidR="008E4671" w:rsidRDefault="007E6542">
      <w:r>
        <w:t>Note: M = mean, SD = standard deviation, BPI = Brief Pain Inventory, DS-II = Demoralization Scale-II</w:t>
      </w:r>
      <w:r w:rsidR="00CC7DB4">
        <w:t xml:space="preserve">, Cancer types and related syndromes are listed without stating how many patients had </w:t>
      </w:r>
      <w:r w:rsidR="00AD1C08">
        <w:t>any given</w:t>
      </w:r>
      <w:r w:rsidR="00CC7DB4">
        <w:t xml:space="preserve"> diagnosis</w:t>
      </w:r>
    </w:p>
    <w:p w14:paraId="3C96C076" w14:textId="66F7F01D" w:rsidR="00295BA5" w:rsidRDefault="00295BA5">
      <w:r>
        <w:t>Table 2. Caregiver Characteristics</w:t>
      </w:r>
    </w:p>
    <w:tbl>
      <w:tblPr>
        <w:tblStyle w:val="TableGrid"/>
        <w:tblW w:w="0" w:type="auto"/>
        <w:tblLook w:val="04A0" w:firstRow="1" w:lastRow="0" w:firstColumn="1" w:lastColumn="0" w:noHBand="0" w:noVBand="1"/>
      </w:tblPr>
      <w:tblGrid>
        <w:gridCol w:w="2965"/>
        <w:gridCol w:w="6385"/>
      </w:tblGrid>
      <w:tr w:rsidR="00295BA5" w14:paraId="07A7360E" w14:textId="77777777" w:rsidTr="00446392">
        <w:tc>
          <w:tcPr>
            <w:tcW w:w="2965" w:type="dxa"/>
          </w:tcPr>
          <w:p w14:paraId="1427E5B5" w14:textId="77777777" w:rsidR="00295BA5" w:rsidRDefault="00295BA5" w:rsidP="00446392">
            <w:bookmarkStart w:id="4" w:name="_Hlk161475043"/>
            <w:r>
              <w:t>Variable</w:t>
            </w:r>
          </w:p>
        </w:tc>
        <w:tc>
          <w:tcPr>
            <w:tcW w:w="6385" w:type="dxa"/>
          </w:tcPr>
          <w:p w14:paraId="59A41ADB" w14:textId="77777777" w:rsidR="00295BA5" w:rsidRDefault="00295BA5" w:rsidP="00446392">
            <w:r>
              <w:t>Descriptive statistics</w:t>
            </w:r>
          </w:p>
        </w:tc>
      </w:tr>
      <w:tr w:rsidR="00295BA5" w14:paraId="4B8D914D" w14:textId="77777777" w:rsidTr="00446392">
        <w:tc>
          <w:tcPr>
            <w:tcW w:w="2965" w:type="dxa"/>
          </w:tcPr>
          <w:p w14:paraId="34D1592E" w14:textId="77777777" w:rsidR="00295BA5" w:rsidRDefault="00295BA5" w:rsidP="00446392">
            <w:r>
              <w:t>Age: M (SD), range</w:t>
            </w:r>
          </w:p>
        </w:tc>
        <w:tc>
          <w:tcPr>
            <w:tcW w:w="6385" w:type="dxa"/>
          </w:tcPr>
          <w:p w14:paraId="5E5705FD" w14:textId="151FF964" w:rsidR="00295BA5" w:rsidRDefault="000D6227" w:rsidP="00446392">
            <w:r>
              <w:t>65.57 (16.25)</w:t>
            </w:r>
          </w:p>
        </w:tc>
      </w:tr>
      <w:tr w:rsidR="00295BA5" w14:paraId="6EB0BA05" w14:textId="77777777" w:rsidTr="00446392">
        <w:tc>
          <w:tcPr>
            <w:tcW w:w="2965" w:type="dxa"/>
          </w:tcPr>
          <w:p w14:paraId="110C2160" w14:textId="77777777" w:rsidR="00295BA5" w:rsidRDefault="00295BA5" w:rsidP="00446392">
            <w:r>
              <w:t>Gender</w:t>
            </w:r>
          </w:p>
        </w:tc>
        <w:tc>
          <w:tcPr>
            <w:tcW w:w="6385" w:type="dxa"/>
          </w:tcPr>
          <w:p w14:paraId="196910A8" w14:textId="5FDE189E" w:rsidR="00295BA5" w:rsidRDefault="000D6227" w:rsidP="00446392">
            <w:r>
              <w:t>3 female, 4 male</w:t>
            </w:r>
          </w:p>
        </w:tc>
      </w:tr>
      <w:tr w:rsidR="00295BA5" w14:paraId="3F8AE7C3" w14:textId="77777777" w:rsidTr="00446392">
        <w:tc>
          <w:tcPr>
            <w:tcW w:w="2965" w:type="dxa"/>
          </w:tcPr>
          <w:p w14:paraId="0CDD4C7A" w14:textId="77777777" w:rsidR="00295BA5" w:rsidRDefault="00295BA5" w:rsidP="00446392">
            <w:r>
              <w:t>Race</w:t>
            </w:r>
          </w:p>
        </w:tc>
        <w:tc>
          <w:tcPr>
            <w:tcW w:w="6385" w:type="dxa"/>
          </w:tcPr>
          <w:p w14:paraId="20CBA523" w14:textId="1A55C679" w:rsidR="00295BA5" w:rsidRDefault="000D6227" w:rsidP="00446392">
            <w:r>
              <w:t>6 White, 1 multi-racial</w:t>
            </w:r>
          </w:p>
        </w:tc>
      </w:tr>
      <w:tr w:rsidR="00295BA5" w14:paraId="6BF40FEC" w14:textId="77777777" w:rsidTr="00446392">
        <w:tc>
          <w:tcPr>
            <w:tcW w:w="2965" w:type="dxa"/>
          </w:tcPr>
          <w:p w14:paraId="4EE9F895" w14:textId="77777777" w:rsidR="00295BA5" w:rsidRDefault="00295BA5" w:rsidP="00446392">
            <w:r>
              <w:t>Ethnicity</w:t>
            </w:r>
          </w:p>
        </w:tc>
        <w:tc>
          <w:tcPr>
            <w:tcW w:w="6385" w:type="dxa"/>
          </w:tcPr>
          <w:p w14:paraId="00F256AE" w14:textId="5BADD6FB" w:rsidR="00295BA5" w:rsidRDefault="000D6227" w:rsidP="00446392">
            <w:r>
              <w:t>7 non-Hispanic</w:t>
            </w:r>
          </w:p>
        </w:tc>
      </w:tr>
      <w:tr w:rsidR="00B64211" w14:paraId="30DEA8A1" w14:textId="77777777" w:rsidTr="00446392">
        <w:tc>
          <w:tcPr>
            <w:tcW w:w="2965" w:type="dxa"/>
          </w:tcPr>
          <w:p w14:paraId="63E8600A" w14:textId="2FEC2257" w:rsidR="00B64211" w:rsidRDefault="00B64211" w:rsidP="00446392">
            <w:r>
              <w:t>Relationship to patient</w:t>
            </w:r>
          </w:p>
        </w:tc>
        <w:tc>
          <w:tcPr>
            <w:tcW w:w="6385" w:type="dxa"/>
          </w:tcPr>
          <w:p w14:paraId="64B93978" w14:textId="1C2DD481" w:rsidR="00B64211" w:rsidRDefault="002250FB" w:rsidP="00446392">
            <w:r>
              <w:t>5 spouse, 1 cousin, 1 mother</w:t>
            </w:r>
          </w:p>
        </w:tc>
      </w:tr>
      <w:tr w:rsidR="00E14554" w14:paraId="247CDFE6" w14:textId="77777777" w:rsidTr="00446392">
        <w:tc>
          <w:tcPr>
            <w:tcW w:w="2965" w:type="dxa"/>
          </w:tcPr>
          <w:p w14:paraId="295F82C1" w14:textId="0323D171" w:rsidR="00E14554" w:rsidRDefault="00E14554" w:rsidP="00E14554">
            <w:r>
              <w:t>Interview Duration</w:t>
            </w:r>
            <w:r w:rsidR="00F1460A">
              <w:t xml:space="preserve"> [min:sec]</w:t>
            </w:r>
            <w:r>
              <w:t>: M (SD), range</w:t>
            </w:r>
          </w:p>
        </w:tc>
        <w:tc>
          <w:tcPr>
            <w:tcW w:w="6385" w:type="dxa"/>
          </w:tcPr>
          <w:p w14:paraId="5027DE02" w14:textId="683F5257" w:rsidR="00E14554" w:rsidRDefault="00CD1CE5" w:rsidP="00E14554">
            <w:r>
              <w:t>33</w:t>
            </w:r>
            <w:r w:rsidR="00F1460A">
              <w:t>:</w:t>
            </w:r>
            <w:r>
              <w:t>52 (</w:t>
            </w:r>
            <w:r w:rsidR="00F1460A">
              <w:t>6:56 sec</w:t>
            </w:r>
            <w:r>
              <w:t>)</w:t>
            </w:r>
            <w:r w:rsidR="00F1460A">
              <w:t>, 21:07-43:15</w:t>
            </w:r>
          </w:p>
        </w:tc>
      </w:tr>
    </w:tbl>
    <w:bookmarkEnd w:id="4"/>
    <w:p w14:paraId="48B2F32D" w14:textId="710267D1" w:rsidR="00295BA5" w:rsidRDefault="007E6542">
      <w:r>
        <w:t>Note: M = mean, SD = standard deviation</w:t>
      </w:r>
    </w:p>
    <w:p w14:paraId="3C7AA2CD" w14:textId="7824C037" w:rsidR="00116D38" w:rsidRDefault="00116D38">
      <w:r>
        <w:t>Table 3. Facilitator Characteristics</w:t>
      </w:r>
    </w:p>
    <w:tbl>
      <w:tblPr>
        <w:tblStyle w:val="TableGrid"/>
        <w:tblW w:w="0" w:type="auto"/>
        <w:tblLook w:val="04A0" w:firstRow="1" w:lastRow="0" w:firstColumn="1" w:lastColumn="0" w:noHBand="0" w:noVBand="1"/>
      </w:tblPr>
      <w:tblGrid>
        <w:gridCol w:w="2965"/>
        <w:gridCol w:w="6385"/>
      </w:tblGrid>
      <w:tr w:rsidR="00116D38" w14:paraId="1A741562" w14:textId="77777777" w:rsidTr="00446392">
        <w:tc>
          <w:tcPr>
            <w:tcW w:w="2965" w:type="dxa"/>
          </w:tcPr>
          <w:p w14:paraId="3AACA254" w14:textId="77777777" w:rsidR="00116D38" w:rsidRDefault="00116D38" w:rsidP="00446392">
            <w:r>
              <w:t>Variable</w:t>
            </w:r>
          </w:p>
        </w:tc>
        <w:tc>
          <w:tcPr>
            <w:tcW w:w="6385" w:type="dxa"/>
          </w:tcPr>
          <w:p w14:paraId="0BDC389A" w14:textId="77777777" w:rsidR="00116D38" w:rsidRDefault="00116D38" w:rsidP="00446392">
            <w:r>
              <w:t>Descriptive statistics</w:t>
            </w:r>
          </w:p>
        </w:tc>
      </w:tr>
      <w:tr w:rsidR="00116D38" w14:paraId="4F103D9D" w14:textId="77777777" w:rsidTr="00446392">
        <w:tc>
          <w:tcPr>
            <w:tcW w:w="2965" w:type="dxa"/>
          </w:tcPr>
          <w:p w14:paraId="7265153C" w14:textId="77777777" w:rsidR="00116D38" w:rsidRDefault="00116D38" w:rsidP="00446392">
            <w:bookmarkStart w:id="5" w:name="_Hlk161475133"/>
            <w:r>
              <w:t>Age: M (SD), range</w:t>
            </w:r>
          </w:p>
        </w:tc>
        <w:tc>
          <w:tcPr>
            <w:tcW w:w="6385" w:type="dxa"/>
          </w:tcPr>
          <w:p w14:paraId="2AEC8753" w14:textId="2A5AB737" w:rsidR="00116D38" w:rsidRDefault="00182C1F" w:rsidP="00446392">
            <w:r>
              <w:t>53.57 (17.61), 33-75</w:t>
            </w:r>
          </w:p>
        </w:tc>
      </w:tr>
      <w:tr w:rsidR="00116D38" w14:paraId="143D954D" w14:textId="77777777" w:rsidTr="00446392">
        <w:tc>
          <w:tcPr>
            <w:tcW w:w="2965" w:type="dxa"/>
          </w:tcPr>
          <w:p w14:paraId="3D188E4C" w14:textId="77777777" w:rsidR="00116D38" w:rsidRDefault="00116D38" w:rsidP="00446392">
            <w:r>
              <w:t>Gender</w:t>
            </w:r>
          </w:p>
        </w:tc>
        <w:tc>
          <w:tcPr>
            <w:tcW w:w="6385" w:type="dxa"/>
          </w:tcPr>
          <w:p w14:paraId="7217C06A" w14:textId="4A761349" w:rsidR="00116D38" w:rsidRDefault="00C17E95" w:rsidP="00446392">
            <w:r>
              <w:t>4 female, 3 male</w:t>
            </w:r>
          </w:p>
        </w:tc>
      </w:tr>
      <w:bookmarkEnd w:id="5"/>
      <w:tr w:rsidR="00182C1F" w14:paraId="382584DC" w14:textId="77777777" w:rsidTr="00446392">
        <w:tc>
          <w:tcPr>
            <w:tcW w:w="2965" w:type="dxa"/>
          </w:tcPr>
          <w:p w14:paraId="199568F1" w14:textId="77777777" w:rsidR="00182C1F" w:rsidRDefault="00182C1F" w:rsidP="00182C1F">
            <w:r>
              <w:t>Race</w:t>
            </w:r>
          </w:p>
        </w:tc>
        <w:tc>
          <w:tcPr>
            <w:tcW w:w="6385" w:type="dxa"/>
          </w:tcPr>
          <w:p w14:paraId="13E7A159" w14:textId="504AF3C5" w:rsidR="00182C1F" w:rsidRDefault="00C17E95" w:rsidP="00182C1F">
            <w:r>
              <w:t xml:space="preserve">6 White, 1 </w:t>
            </w:r>
            <w:r w:rsidR="00B8526D">
              <w:t>Black</w:t>
            </w:r>
            <w:r w:rsidR="00EA19DE">
              <w:t>/African American</w:t>
            </w:r>
          </w:p>
        </w:tc>
      </w:tr>
      <w:tr w:rsidR="00182C1F" w14:paraId="3B17705F" w14:textId="77777777" w:rsidTr="00446392">
        <w:tc>
          <w:tcPr>
            <w:tcW w:w="2965" w:type="dxa"/>
          </w:tcPr>
          <w:p w14:paraId="1266C83D" w14:textId="77777777" w:rsidR="00182C1F" w:rsidRDefault="00182C1F" w:rsidP="00182C1F">
            <w:r>
              <w:t>Ethnicity</w:t>
            </w:r>
          </w:p>
        </w:tc>
        <w:tc>
          <w:tcPr>
            <w:tcW w:w="6385" w:type="dxa"/>
          </w:tcPr>
          <w:p w14:paraId="0C1C773F" w14:textId="59CDDD5A" w:rsidR="00182C1F" w:rsidRDefault="00404097" w:rsidP="00182C1F">
            <w:r>
              <w:t>7 non-Hispanic</w:t>
            </w:r>
          </w:p>
        </w:tc>
      </w:tr>
      <w:tr w:rsidR="00182C1F" w14:paraId="2274DE72" w14:textId="77777777" w:rsidTr="00446392">
        <w:tc>
          <w:tcPr>
            <w:tcW w:w="2965" w:type="dxa"/>
          </w:tcPr>
          <w:p w14:paraId="0D3EC71A" w14:textId="5FD254E8" w:rsidR="00182C1F" w:rsidRDefault="007E55C7" w:rsidP="00182C1F">
            <w:r>
              <w:t>Professional role:</w:t>
            </w:r>
          </w:p>
        </w:tc>
        <w:tc>
          <w:tcPr>
            <w:tcW w:w="6385" w:type="dxa"/>
          </w:tcPr>
          <w:p w14:paraId="3C68FB13" w14:textId="71E336F8" w:rsidR="00182C1F" w:rsidRDefault="00CB55D4" w:rsidP="00182C1F">
            <w:r>
              <w:t xml:space="preserve">3 SHP, 3 MHC, 1 SHP + MHC </w:t>
            </w:r>
          </w:p>
        </w:tc>
      </w:tr>
      <w:tr w:rsidR="007E55C7" w14:paraId="26A4BEB3" w14:textId="77777777" w:rsidTr="00446392">
        <w:tc>
          <w:tcPr>
            <w:tcW w:w="2965" w:type="dxa"/>
          </w:tcPr>
          <w:p w14:paraId="66359673" w14:textId="1ECEEA48" w:rsidR="007E55C7" w:rsidRDefault="007E55C7" w:rsidP="00182C1F">
            <w:r>
              <w:t>Credentials</w:t>
            </w:r>
          </w:p>
        </w:tc>
        <w:tc>
          <w:tcPr>
            <w:tcW w:w="6385" w:type="dxa"/>
          </w:tcPr>
          <w:p w14:paraId="30D997E3" w14:textId="7182C46A" w:rsidR="007E55C7" w:rsidRDefault="00295770" w:rsidP="00182C1F">
            <w:bookmarkStart w:id="6" w:name="_Hlk173659752"/>
            <w:r>
              <w:t>2 PhD clinical psychologists,</w:t>
            </w:r>
            <w:r w:rsidR="00533E1E">
              <w:t xml:space="preserve"> 1 licensed professional counselor,</w:t>
            </w:r>
            <w:r>
              <w:t xml:space="preserve"> 3 board certified chaplains, 1 </w:t>
            </w:r>
            <w:r w:rsidR="00533E1E">
              <w:t>licensed clinical social worker</w:t>
            </w:r>
            <w:r w:rsidR="00797D4D">
              <w:t xml:space="preserve"> + board certified chaplain</w:t>
            </w:r>
            <w:bookmarkEnd w:id="6"/>
          </w:p>
        </w:tc>
      </w:tr>
      <w:tr w:rsidR="007E55C7" w14:paraId="1670F0E7" w14:textId="77777777" w:rsidTr="00446392">
        <w:tc>
          <w:tcPr>
            <w:tcW w:w="2965" w:type="dxa"/>
          </w:tcPr>
          <w:p w14:paraId="53918236" w14:textId="393D4B26" w:rsidR="007E55C7" w:rsidRDefault="007E55C7" w:rsidP="00182C1F">
            <w:r>
              <w:lastRenderedPageBreak/>
              <w:t>Years of professional experience: M (SD), range</w:t>
            </w:r>
          </w:p>
        </w:tc>
        <w:tc>
          <w:tcPr>
            <w:tcW w:w="6385" w:type="dxa"/>
          </w:tcPr>
          <w:p w14:paraId="103D3041" w14:textId="4E7A0CF1" w:rsidR="007E55C7" w:rsidRDefault="007E55C7" w:rsidP="00182C1F">
            <w:r>
              <w:t>20.14 (14.55), 5-40</w:t>
            </w:r>
          </w:p>
        </w:tc>
      </w:tr>
      <w:tr w:rsidR="00E14554" w14:paraId="1DBD411B" w14:textId="77777777" w:rsidTr="00446392">
        <w:tc>
          <w:tcPr>
            <w:tcW w:w="2965" w:type="dxa"/>
          </w:tcPr>
          <w:p w14:paraId="46DA56BF" w14:textId="12BBAA15" w:rsidR="00E14554" w:rsidRDefault="00F84D47" w:rsidP="00182C1F">
            <w:r>
              <w:t>Interview Duration [min:sec]: M (SD), range</w:t>
            </w:r>
          </w:p>
        </w:tc>
        <w:tc>
          <w:tcPr>
            <w:tcW w:w="6385" w:type="dxa"/>
          </w:tcPr>
          <w:p w14:paraId="413EB547" w14:textId="5A42BD7B" w:rsidR="00E14554" w:rsidRDefault="00116E0F" w:rsidP="00182C1F">
            <w:r>
              <w:t xml:space="preserve">56:26 (6:07), </w:t>
            </w:r>
            <w:r w:rsidR="00C806A0">
              <w:t>47:15-65:27</w:t>
            </w:r>
          </w:p>
        </w:tc>
      </w:tr>
    </w:tbl>
    <w:p w14:paraId="71F79041" w14:textId="10FB1E38" w:rsidR="00455963" w:rsidRDefault="00CB55D4">
      <w:pPr>
        <w:sectPr w:rsidR="00455963" w:rsidSect="00CE32AA">
          <w:footerReference w:type="default" r:id="rId7"/>
          <w:pgSz w:w="12240" w:h="15840"/>
          <w:pgMar w:top="1440" w:right="1440" w:bottom="1440" w:left="1440" w:header="720" w:footer="720" w:gutter="0"/>
          <w:cols w:space="720"/>
          <w:docGrid w:linePitch="360"/>
        </w:sectPr>
      </w:pPr>
      <w:bookmarkStart w:id="7" w:name="_Hlk161614603"/>
      <w:r>
        <w:t>Note: M = mean, SD = standard deviation</w:t>
      </w:r>
      <w:bookmarkEnd w:id="7"/>
      <w:r w:rsidR="00295770">
        <w:t>, SHP = spiritual health clinician, MHC = mental health clinician</w:t>
      </w:r>
    </w:p>
    <w:p w14:paraId="335E90A5" w14:textId="416608B9" w:rsidR="00867DA6" w:rsidRDefault="00455963">
      <w:r>
        <w:lastRenderedPageBreak/>
        <w:t>Table 4. Critical Incidents</w:t>
      </w:r>
    </w:p>
    <w:tbl>
      <w:tblPr>
        <w:tblStyle w:val="TableGrid"/>
        <w:tblW w:w="0" w:type="auto"/>
        <w:tblLook w:val="04A0" w:firstRow="1" w:lastRow="0" w:firstColumn="1" w:lastColumn="0" w:noHBand="0" w:noVBand="1"/>
      </w:tblPr>
      <w:tblGrid>
        <w:gridCol w:w="2785"/>
        <w:gridCol w:w="5848"/>
        <w:gridCol w:w="1439"/>
        <w:gridCol w:w="1439"/>
        <w:gridCol w:w="1439"/>
      </w:tblGrid>
      <w:tr w:rsidR="007104F4" w14:paraId="30D8D6FD" w14:textId="77777777" w:rsidTr="007104F4">
        <w:tc>
          <w:tcPr>
            <w:tcW w:w="2785" w:type="dxa"/>
          </w:tcPr>
          <w:p w14:paraId="1D4AD08D" w14:textId="5BCAC980" w:rsidR="007104F4" w:rsidRDefault="007104F4">
            <w:r>
              <w:t>Term</w:t>
            </w:r>
          </w:p>
        </w:tc>
        <w:tc>
          <w:tcPr>
            <w:tcW w:w="5848" w:type="dxa"/>
          </w:tcPr>
          <w:p w14:paraId="5A2F7362" w14:textId="393B9284" w:rsidR="007104F4" w:rsidRDefault="007104F4">
            <w:r>
              <w:t>Definition</w:t>
            </w:r>
          </w:p>
        </w:tc>
        <w:tc>
          <w:tcPr>
            <w:tcW w:w="1439" w:type="dxa"/>
          </w:tcPr>
          <w:p w14:paraId="75F59CE1" w14:textId="4DC73F56" w:rsidR="007104F4" w:rsidRDefault="007104F4">
            <w:r>
              <w:t>Patients</w:t>
            </w:r>
          </w:p>
        </w:tc>
        <w:tc>
          <w:tcPr>
            <w:tcW w:w="1439" w:type="dxa"/>
          </w:tcPr>
          <w:p w14:paraId="6A906A15" w14:textId="6BBF3DA8" w:rsidR="007104F4" w:rsidRDefault="007104F4">
            <w:r>
              <w:t>Facilitators</w:t>
            </w:r>
          </w:p>
        </w:tc>
        <w:tc>
          <w:tcPr>
            <w:tcW w:w="1439" w:type="dxa"/>
          </w:tcPr>
          <w:p w14:paraId="696A5F59" w14:textId="7554DB68" w:rsidR="007104F4" w:rsidRDefault="007104F4">
            <w:r>
              <w:t>Caregivers</w:t>
            </w:r>
          </w:p>
        </w:tc>
      </w:tr>
      <w:tr w:rsidR="007104F4" w14:paraId="2D276C00" w14:textId="77777777" w:rsidTr="007104F4">
        <w:tc>
          <w:tcPr>
            <w:tcW w:w="2785" w:type="dxa"/>
          </w:tcPr>
          <w:p w14:paraId="09BC72D8" w14:textId="5F8FB7FB" w:rsidR="007104F4" w:rsidRDefault="003143F5">
            <w:r>
              <w:t>Personally meaningful insight</w:t>
            </w:r>
          </w:p>
        </w:tc>
        <w:tc>
          <w:tcPr>
            <w:tcW w:w="5848" w:type="dxa"/>
          </w:tcPr>
          <w:p w14:paraId="1D8E6E29" w14:textId="0852E113" w:rsidR="007104F4" w:rsidRDefault="00F11EAE">
            <w:r>
              <w:t>Patient</w:t>
            </w:r>
            <w:r w:rsidR="003143F5">
              <w:t xml:space="preserve"> experienced an insight that they felt to be meaningful, impactful, or valuable associate with the psilocybin dosing</w:t>
            </w:r>
          </w:p>
        </w:tc>
        <w:tc>
          <w:tcPr>
            <w:tcW w:w="1439" w:type="dxa"/>
          </w:tcPr>
          <w:p w14:paraId="02FD10A6" w14:textId="4290201B" w:rsidR="007104F4" w:rsidRDefault="003143F5">
            <w:r>
              <w:t>X</w:t>
            </w:r>
          </w:p>
        </w:tc>
        <w:tc>
          <w:tcPr>
            <w:tcW w:w="1439" w:type="dxa"/>
          </w:tcPr>
          <w:p w14:paraId="417470D1" w14:textId="77777777" w:rsidR="007104F4" w:rsidRDefault="007104F4"/>
        </w:tc>
        <w:tc>
          <w:tcPr>
            <w:tcW w:w="1439" w:type="dxa"/>
          </w:tcPr>
          <w:p w14:paraId="7C24DC61" w14:textId="27666F3D" w:rsidR="007104F4" w:rsidRDefault="00DA0B3F">
            <w:r>
              <w:t>X</w:t>
            </w:r>
          </w:p>
        </w:tc>
      </w:tr>
      <w:tr w:rsidR="007104F4" w14:paraId="1C8DF6BD" w14:textId="77777777" w:rsidTr="007104F4">
        <w:tc>
          <w:tcPr>
            <w:tcW w:w="2785" w:type="dxa"/>
          </w:tcPr>
          <w:p w14:paraId="5C671217" w14:textId="230AC144" w:rsidR="007104F4" w:rsidRDefault="00F11EAE">
            <w:r>
              <w:t>Perceived sacredness in the dosing session</w:t>
            </w:r>
          </w:p>
        </w:tc>
        <w:tc>
          <w:tcPr>
            <w:tcW w:w="5848" w:type="dxa"/>
          </w:tcPr>
          <w:p w14:paraId="792DF13E" w14:textId="44AA3374" w:rsidR="007104F4" w:rsidRDefault="00F11EAE">
            <w:r>
              <w:t>Patient experiences in the dosing session were deemed sacred, holy, or spiritual</w:t>
            </w:r>
            <w:r w:rsidR="008D15B0">
              <w:t xml:space="preserve"> at the time of the experience</w:t>
            </w:r>
          </w:p>
        </w:tc>
        <w:tc>
          <w:tcPr>
            <w:tcW w:w="1439" w:type="dxa"/>
          </w:tcPr>
          <w:p w14:paraId="200F85F4" w14:textId="6EA51781" w:rsidR="007104F4" w:rsidRDefault="00F11EAE">
            <w:r>
              <w:t>X</w:t>
            </w:r>
          </w:p>
        </w:tc>
        <w:tc>
          <w:tcPr>
            <w:tcW w:w="1439" w:type="dxa"/>
          </w:tcPr>
          <w:p w14:paraId="0E92B111" w14:textId="77777777" w:rsidR="007104F4" w:rsidRDefault="007104F4"/>
        </w:tc>
        <w:tc>
          <w:tcPr>
            <w:tcW w:w="1439" w:type="dxa"/>
          </w:tcPr>
          <w:p w14:paraId="728CBF26" w14:textId="27B684C0" w:rsidR="007104F4" w:rsidRDefault="007104F4"/>
        </w:tc>
      </w:tr>
      <w:tr w:rsidR="007104F4" w14:paraId="29A12045" w14:textId="77777777" w:rsidTr="007104F4">
        <w:tc>
          <w:tcPr>
            <w:tcW w:w="2785" w:type="dxa"/>
          </w:tcPr>
          <w:p w14:paraId="29CEFD65" w14:textId="1F3E9CBE" w:rsidR="007104F4" w:rsidRDefault="00F67363">
            <w:r>
              <w:t>Dosing session ended earlier than desired</w:t>
            </w:r>
          </w:p>
        </w:tc>
        <w:tc>
          <w:tcPr>
            <w:tcW w:w="5848" w:type="dxa"/>
          </w:tcPr>
          <w:p w14:paraId="04DBE6A9" w14:textId="1D88E84C" w:rsidR="007104F4" w:rsidRDefault="00F67363">
            <w:r>
              <w:t>At the end of the dosing session the participant still felt that they were in their psilocybin session and would have preferred to remain in the dosing session environment longer</w:t>
            </w:r>
          </w:p>
        </w:tc>
        <w:tc>
          <w:tcPr>
            <w:tcW w:w="1439" w:type="dxa"/>
          </w:tcPr>
          <w:p w14:paraId="032C8224" w14:textId="3EC88BF1" w:rsidR="007104F4" w:rsidRDefault="00F67363">
            <w:r>
              <w:t>X</w:t>
            </w:r>
          </w:p>
        </w:tc>
        <w:tc>
          <w:tcPr>
            <w:tcW w:w="1439" w:type="dxa"/>
          </w:tcPr>
          <w:p w14:paraId="5D896103" w14:textId="77777777" w:rsidR="007104F4" w:rsidRDefault="007104F4"/>
        </w:tc>
        <w:tc>
          <w:tcPr>
            <w:tcW w:w="1439" w:type="dxa"/>
          </w:tcPr>
          <w:p w14:paraId="7A5BAA4C" w14:textId="400FF220" w:rsidR="007104F4" w:rsidRDefault="00F67363">
            <w:r>
              <w:t>X</w:t>
            </w:r>
          </w:p>
        </w:tc>
      </w:tr>
      <w:tr w:rsidR="007104F4" w14:paraId="57279240" w14:textId="77777777" w:rsidTr="007104F4">
        <w:tc>
          <w:tcPr>
            <w:tcW w:w="2785" w:type="dxa"/>
          </w:tcPr>
          <w:p w14:paraId="44C530C7" w14:textId="4F839F93" w:rsidR="007104F4" w:rsidRDefault="00063B52">
            <w:r>
              <w:t>Delayed onset of psilocybin effects</w:t>
            </w:r>
          </w:p>
        </w:tc>
        <w:tc>
          <w:tcPr>
            <w:tcW w:w="5848" w:type="dxa"/>
          </w:tcPr>
          <w:p w14:paraId="5BED0F18" w14:textId="77E50AA5" w:rsidR="007104F4" w:rsidRDefault="00063B52">
            <w:r>
              <w:t>The onset psychotropic effects of psilocybin took substantially longer than expected</w:t>
            </w:r>
          </w:p>
        </w:tc>
        <w:tc>
          <w:tcPr>
            <w:tcW w:w="1439" w:type="dxa"/>
          </w:tcPr>
          <w:p w14:paraId="3068EC87" w14:textId="77777777" w:rsidR="007104F4" w:rsidRDefault="007104F4"/>
        </w:tc>
        <w:tc>
          <w:tcPr>
            <w:tcW w:w="1439" w:type="dxa"/>
          </w:tcPr>
          <w:p w14:paraId="4446C498" w14:textId="28D65C85" w:rsidR="007104F4" w:rsidRDefault="00063B52">
            <w:r>
              <w:t>X</w:t>
            </w:r>
          </w:p>
        </w:tc>
        <w:tc>
          <w:tcPr>
            <w:tcW w:w="1439" w:type="dxa"/>
          </w:tcPr>
          <w:p w14:paraId="69F0D4FB" w14:textId="77777777" w:rsidR="007104F4" w:rsidRDefault="007104F4"/>
        </w:tc>
      </w:tr>
      <w:tr w:rsidR="007104F4" w14:paraId="77B3460C" w14:textId="77777777" w:rsidTr="007104F4">
        <w:tc>
          <w:tcPr>
            <w:tcW w:w="2785" w:type="dxa"/>
          </w:tcPr>
          <w:p w14:paraId="7FE19BB6" w14:textId="58A5ADFE" w:rsidR="007104F4" w:rsidRDefault="004050C2">
            <w:r>
              <w:t>Patient physical distress during dosing</w:t>
            </w:r>
          </w:p>
        </w:tc>
        <w:tc>
          <w:tcPr>
            <w:tcW w:w="5848" w:type="dxa"/>
          </w:tcPr>
          <w:p w14:paraId="0D1F8510" w14:textId="58DEB17F" w:rsidR="007104F4" w:rsidRDefault="004050C2">
            <w:r>
              <w:t>The patient experienced physical distress in the form of pain or nausea during dosing, which may have interfered with their psychedelic experience</w:t>
            </w:r>
          </w:p>
        </w:tc>
        <w:tc>
          <w:tcPr>
            <w:tcW w:w="1439" w:type="dxa"/>
          </w:tcPr>
          <w:p w14:paraId="0D4078AE" w14:textId="724C29A7" w:rsidR="007104F4" w:rsidRDefault="004050C2">
            <w:r>
              <w:t>X</w:t>
            </w:r>
          </w:p>
        </w:tc>
        <w:tc>
          <w:tcPr>
            <w:tcW w:w="1439" w:type="dxa"/>
          </w:tcPr>
          <w:p w14:paraId="7D6251B8" w14:textId="0C5B8353" w:rsidR="007104F4" w:rsidRDefault="007E7AED">
            <w:r>
              <w:t>X</w:t>
            </w:r>
          </w:p>
        </w:tc>
        <w:tc>
          <w:tcPr>
            <w:tcW w:w="1439" w:type="dxa"/>
          </w:tcPr>
          <w:p w14:paraId="3FE60DFC" w14:textId="720A3336" w:rsidR="007104F4" w:rsidRDefault="007104F4"/>
        </w:tc>
      </w:tr>
      <w:tr w:rsidR="007104F4" w14:paraId="5491B97E" w14:textId="77777777" w:rsidTr="007104F4">
        <w:tc>
          <w:tcPr>
            <w:tcW w:w="2785" w:type="dxa"/>
          </w:tcPr>
          <w:p w14:paraId="084A463F" w14:textId="788E79B3" w:rsidR="007104F4" w:rsidRDefault="007E7AED">
            <w:r>
              <w:t>Uncertainty about when and how to intervene on patients’ discomfort</w:t>
            </w:r>
          </w:p>
        </w:tc>
        <w:tc>
          <w:tcPr>
            <w:tcW w:w="5848" w:type="dxa"/>
          </w:tcPr>
          <w:p w14:paraId="24758F4B" w14:textId="51544A2B" w:rsidR="007104F4" w:rsidRDefault="007E7AED">
            <w:r>
              <w:t>Facilitators experienced challenges in deciding when, how, and based on what criteria, to intervene on a patient’s physical discomfort</w:t>
            </w:r>
          </w:p>
        </w:tc>
        <w:tc>
          <w:tcPr>
            <w:tcW w:w="1439" w:type="dxa"/>
          </w:tcPr>
          <w:p w14:paraId="4D06F0C2" w14:textId="77777777" w:rsidR="007104F4" w:rsidRDefault="007104F4"/>
        </w:tc>
        <w:tc>
          <w:tcPr>
            <w:tcW w:w="1439" w:type="dxa"/>
          </w:tcPr>
          <w:p w14:paraId="1E4F2B61" w14:textId="29AE327B" w:rsidR="007104F4" w:rsidRDefault="007E7AED">
            <w:r>
              <w:t>X</w:t>
            </w:r>
          </w:p>
        </w:tc>
        <w:tc>
          <w:tcPr>
            <w:tcW w:w="1439" w:type="dxa"/>
          </w:tcPr>
          <w:p w14:paraId="5E3FE71A" w14:textId="77777777" w:rsidR="007104F4" w:rsidRDefault="007104F4"/>
        </w:tc>
      </w:tr>
      <w:tr w:rsidR="007E7AED" w14:paraId="53F5EA44" w14:textId="77777777" w:rsidTr="007104F4">
        <w:tc>
          <w:tcPr>
            <w:tcW w:w="2785" w:type="dxa"/>
          </w:tcPr>
          <w:p w14:paraId="3A2AB211" w14:textId="731320ED" w:rsidR="007E7AED" w:rsidRDefault="004571F1">
            <w:r>
              <w:t>Challenges</w:t>
            </w:r>
            <w:r w:rsidR="00814B5D">
              <w:t xml:space="preserve"> with medicalized setting</w:t>
            </w:r>
          </w:p>
        </w:tc>
        <w:tc>
          <w:tcPr>
            <w:tcW w:w="5848" w:type="dxa"/>
          </w:tcPr>
          <w:p w14:paraId="12FE1BDB" w14:textId="68949C58" w:rsidR="007E7AED" w:rsidRDefault="00814B5D">
            <w:r>
              <w:t>The experience of PAT in the trial was reported to feel medicalized</w:t>
            </w:r>
            <w:r w:rsidR="00591595">
              <w:t xml:space="preserve"> in a way that produced discomfort </w:t>
            </w:r>
            <w:r>
              <w:t>, evoking memories or emotions related to unpleasant medical experiences</w:t>
            </w:r>
          </w:p>
        </w:tc>
        <w:tc>
          <w:tcPr>
            <w:tcW w:w="1439" w:type="dxa"/>
          </w:tcPr>
          <w:p w14:paraId="397F66B1" w14:textId="283EC94A" w:rsidR="007E7AED" w:rsidRDefault="00591595">
            <w:r>
              <w:t>X</w:t>
            </w:r>
          </w:p>
        </w:tc>
        <w:tc>
          <w:tcPr>
            <w:tcW w:w="1439" w:type="dxa"/>
          </w:tcPr>
          <w:p w14:paraId="67936EBD" w14:textId="77777777" w:rsidR="007E7AED" w:rsidRDefault="007E7AED"/>
        </w:tc>
        <w:tc>
          <w:tcPr>
            <w:tcW w:w="1439" w:type="dxa"/>
          </w:tcPr>
          <w:p w14:paraId="1E0C2BB8" w14:textId="0BBCF640" w:rsidR="007E7AED" w:rsidRDefault="00591595">
            <w:r>
              <w:t>X</w:t>
            </w:r>
          </w:p>
        </w:tc>
      </w:tr>
      <w:tr w:rsidR="007E7AED" w14:paraId="29F7BEFD" w14:textId="77777777" w:rsidTr="007104F4">
        <w:tc>
          <w:tcPr>
            <w:tcW w:w="2785" w:type="dxa"/>
          </w:tcPr>
          <w:p w14:paraId="3CA96B3B" w14:textId="64959F20" w:rsidR="007E7AED" w:rsidRDefault="00A007BE">
            <w:r>
              <w:t>Inadequate consideration of patient medical history</w:t>
            </w:r>
          </w:p>
        </w:tc>
        <w:tc>
          <w:tcPr>
            <w:tcW w:w="5848" w:type="dxa"/>
          </w:tcPr>
          <w:p w14:paraId="4A838076" w14:textId="30AED9BF" w:rsidR="007E7AED" w:rsidRDefault="00A007BE">
            <w:r>
              <w:t>Concerns that the medical histories of patients, which were often complex, were not given enough consideration or understanding in the planning of the psilocybin sessions or PAT</w:t>
            </w:r>
          </w:p>
        </w:tc>
        <w:tc>
          <w:tcPr>
            <w:tcW w:w="1439" w:type="dxa"/>
          </w:tcPr>
          <w:p w14:paraId="31E41A64" w14:textId="3EE45322" w:rsidR="007E7AED" w:rsidRDefault="00A007BE">
            <w:r>
              <w:t>X</w:t>
            </w:r>
          </w:p>
        </w:tc>
        <w:tc>
          <w:tcPr>
            <w:tcW w:w="1439" w:type="dxa"/>
          </w:tcPr>
          <w:p w14:paraId="16D53AE8" w14:textId="33A43495" w:rsidR="007E7AED" w:rsidRDefault="007E7AED"/>
        </w:tc>
        <w:tc>
          <w:tcPr>
            <w:tcW w:w="1439" w:type="dxa"/>
          </w:tcPr>
          <w:p w14:paraId="0D41A230" w14:textId="77777777" w:rsidR="007E7AED" w:rsidRDefault="007E7AED"/>
        </w:tc>
      </w:tr>
      <w:tr w:rsidR="007E7AED" w14:paraId="4F17BA7D" w14:textId="77777777" w:rsidTr="007104F4">
        <w:tc>
          <w:tcPr>
            <w:tcW w:w="2785" w:type="dxa"/>
          </w:tcPr>
          <w:p w14:paraId="32C98D41" w14:textId="05C10537" w:rsidR="007E7AED" w:rsidRDefault="006A5AA5">
            <w:r>
              <w:t>Unnecessarily burdensome components of care</w:t>
            </w:r>
          </w:p>
        </w:tc>
        <w:tc>
          <w:tcPr>
            <w:tcW w:w="5848" w:type="dxa"/>
          </w:tcPr>
          <w:p w14:paraId="793CB985" w14:textId="2946560D" w:rsidR="007E7AED" w:rsidRDefault="006A5AA5">
            <w:r>
              <w:t>A</w:t>
            </w:r>
            <w:r w:rsidRPr="006A5AA5">
              <w:t>ppointments</w:t>
            </w:r>
            <w:r>
              <w:t xml:space="preserve"> or interactions</w:t>
            </w:r>
            <w:r w:rsidRPr="006A5AA5">
              <w:t xml:space="preserve"> that were perceived to be unnecessarily burdensome, though not upsetting or harmful. These </w:t>
            </w:r>
            <w:r>
              <w:t xml:space="preserve">included </w:t>
            </w:r>
            <w:r w:rsidRPr="006A5AA5">
              <w:t>study questionnaires,</w:t>
            </w:r>
            <w:r>
              <w:t xml:space="preserve"> or</w:t>
            </w:r>
            <w:r w:rsidRPr="006A5AA5">
              <w:t xml:space="preserve"> palliative care team check-ins by study team members that were not directly involved with each visit</w:t>
            </w:r>
            <w:r>
              <w:t>.</w:t>
            </w:r>
          </w:p>
        </w:tc>
        <w:tc>
          <w:tcPr>
            <w:tcW w:w="1439" w:type="dxa"/>
          </w:tcPr>
          <w:p w14:paraId="29A62B63" w14:textId="226C579B" w:rsidR="007E7AED" w:rsidRDefault="00B00861">
            <w:r>
              <w:t>X</w:t>
            </w:r>
          </w:p>
        </w:tc>
        <w:tc>
          <w:tcPr>
            <w:tcW w:w="1439" w:type="dxa"/>
          </w:tcPr>
          <w:p w14:paraId="66DB4968" w14:textId="77777777" w:rsidR="007E7AED" w:rsidRDefault="007E7AED"/>
        </w:tc>
        <w:tc>
          <w:tcPr>
            <w:tcW w:w="1439" w:type="dxa"/>
          </w:tcPr>
          <w:p w14:paraId="059C0FD3" w14:textId="77777777" w:rsidR="007E7AED" w:rsidRDefault="007E7AED"/>
        </w:tc>
      </w:tr>
      <w:tr w:rsidR="007104F4" w14:paraId="0DFB864F" w14:textId="77777777" w:rsidTr="007104F4">
        <w:tc>
          <w:tcPr>
            <w:tcW w:w="2785" w:type="dxa"/>
          </w:tcPr>
          <w:p w14:paraId="05C958BC" w14:textId="3A112EE5" w:rsidR="007104F4" w:rsidRDefault="00211349">
            <w:r>
              <w:lastRenderedPageBreak/>
              <w:t>Challenges with termination of therapy relationship</w:t>
            </w:r>
          </w:p>
        </w:tc>
        <w:tc>
          <w:tcPr>
            <w:tcW w:w="5848" w:type="dxa"/>
          </w:tcPr>
          <w:p w14:paraId="185DCBC9" w14:textId="1FDD3770" w:rsidR="007104F4" w:rsidRDefault="00211349">
            <w:r>
              <w:t xml:space="preserve">The termination of the psychotherapy relationship between the patient and the facilitators was experienced to be difficult, challenging, or premature </w:t>
            </w:r>
          </w:p>
        </w:tc>
        <w:tc>
          <w:tcPr>
            <w:tcW w:w="1439" w:type="dxa"/>
          </w:tcPr>
          <w:p w14:paraId="615FAD4B" w14:textId="04A4913E" w:rsidR="007104F4" w:rsidRDefault="00211349">
            <w:r>
              <w:t>X</w:t>
            </w:r>
          </w:p>
        </w:tc>
        <w:tc>
          <w:tcPr>
            <w:tcW w:w="1439" w:type="dxa"/>
          </w:tcPr>
          <w:p w14:paraId="2E87F6D4" w14:textId="77777777" w:rsidR="007104F4" w:rsidRDefault="007104F4"/>
        </w:tc>
        <w:tc>
          <w:tcPr>
            <w:tcW w:w="1439" w:type="dxa"/>
          </w:tcPr>
          <w:p w14:paraId="31150207" w14:textId="15D765FC" w:rsidR="007104F4" w:rsidRDefault="00211349">
            <w:r>
              <w:t>X</w:t>
            </w:r>
          </w:p>
        </w:tc>
      </w:tr>
      <w:tr w:rsidR="007104F4" w14:paraId="45C15D43" w14:textId="77777777" w:rsidTr="007104F4">
        <w:tc>
          <w:tcPr>
            <w:tcW w:w="2785" w:type="dxa"/>
          </w:tcPr>
          <w:p w14:paraId="166CFBF0" w14:textId="24D25728" w:rsidR="007104F4" w:rsidRDefault="002A6132">
            <w:r>
              <w:t>Shared racial/cultural background with patient</w:t>
            </w:r>
          </w:p>
        </w:tc>
        <w:tc>
          <w:tcPr>
            <w:tcW w:w="5848" w:type="dxa"/>
          </w:tcPr>
          <w:p w14:paraId="6E09EC18" w14:textId="01D9A84D" w:rsidR="007104F4" w:rsidRDefault="002A6132">
            <w:r>
              <w:t>The commonality of racial or cultural backgrounds between a patient and facilitator was perceived to contribute to understanding, empathy, and safety</w:t>
            </w:r>
          </w:p>
        </w:tc>
        <w:tc>
          <w:tcPr>
            <w:tcW w:w="1439" w:type="dxa"/>
          </w:tcPr>
          <w:p w14:paraId="0DB3409E" w14:textId="161A43A7" w:rsidR="007104F4" w:rsidRDefault="002A6132">
            <w:r>
              <w:t>X</w:t>
            </w:r>
          </w:p>
        </w:tc>
        <w:tc>
          <w:tcPr>
            <w:tcW w:w="1439" w:type="dxa"/>
          </w:tcPr>
          <w:p w14:paraId="30C2B674" w14:textId="77777777" w:rsidR="007104F4" w:rsidRDefault="007104F4"/>
        </w:tc>
        <w:tc>
          <w:tcPr>
            <w:tcW w:w="1439" w:type="dxa"/>
          </w:tcPr>
          <w:p w14:paraId="38DE5DCD" w14:textId="77777777" w:rsidR="007104F4" w:rsidRDefault="007104F4"/>
        </w:tc>
      </w:tr>
      <w:tr w:rsidR="007104F4" w14:paraId="249FB82A" w14:textId="77777777" w:rsidTr="007104F4">
        <w:tc>
          <w:tcPr>
            <w:tcW w:w="2785" w:type="dxa"/>
          </w:tcPr>
          <w:p w14:paraId="46917713" w14:textId="7DE15EE4" w:rsidR="007104F4" w:rsidRDefault="007F332F">
            <w:r>
              <w:t>Awareness of gender/sexuality concerns</w:t>
            </w:r>
          </w:p>
        </w:tc>
        <w:tc>
          <w:tcPr>
            <w:tcW w:w="5848" w:type="dxa"/>
          </w:tcPr>
          <w:p w14:paraId="5591EAF8" w14:textId="14D20E41" w:rsidR="007104F4" w:rsidRDefault="007F332F">
            <w:r>
              <w:t>Issues of gender or sexuality became salient to a patient in a way that was deemed influential for the therapy</w:t>
            </w:r>
          </w:p>
        </w:tc>
        <w:tc>
          <w:tcPr>
            <w:tcW w:w="1439" w:type="dxa"/>
          </w:tcPr>
          <w:p w14:paraId="702DDFDC" w14:textId="77777777" w:rsidR="007104F4" w:rsidRDefault="007F332F">
            <w:r>
              <w:t>X</w:t>
            </w:r>
          </w:p>
          <w:p w14:paraId="59F0087B" w14:textId="597996E6" w:rsidR="007F332F" w:rsidRDefault="007F332F"/>
        </w:tc>
        <w:tc>
          <w:tcPr>
            <w:tcW w:w="1439" w:type="dxa"/>
          </w:tcPr>
          <w:p w14:paraId="68822F19" w14:textId="77777777" w:rsidR="007104F4" w:rsidRDefault="007104F4"/>
        </w:tc>
        <w:tc>
          <w:tcPr>
            <w:tcW w:w="1439" w:type="dxa"/>
          </w:tcPr>
          <w:p w14:paraId="6555B8CF" w14:textId="77777777" w:rsidR="007104F4" w:rsidRDefault="007104F4"/>
        </w:tc>
      </w:tr>
      <w:tr w:rsidR="00A51B77" w14:paraId="3A134918" w14:textId="77777777" w:rsidTr="007104F4">
        <w:tc>
          <w:tcPr>
            <w:tcW w:w="2785" w:type="dxa"/>
          </w:tcPr>
          <w:p w14:paraId="4B359098" w14:textId="5381C987" w:rsidR="00A51B77" w:rsidRDefault="00643986">
            <w:r>
              <w:t>Concern about patient fit for the trial</w:t>
            </w:r>
          </w:p>
        </w:tc>
        <w:tc>
          <w:tcPr>
            <w:tcW w:w="5848" w:type="dxa"/>
          </w:tcPr>
          <w:p w14:paraId="60F8E8F7" w14:textId="095AB7A1" w:rsidR="00A51B77" w:rsidRDefault="00643986">
            <w:r>
              <w:t>Concern was expressed about whether a patient would benefit from PAT, despite having met screening criteria</w:t>
            </w:r>
          </w:p>
        </w:tc>
        <w:tc>
          <w:tcPr>
            <w:tcW w:w="1439" w:type="dxa"/>
          </w:tcPr>
          <w:p w14:paraId="480E2C17" w14:textId="77777777" w:rsidR="00A51B77" w:rsidRDefault="00A51B77"/>
        </w:tc>
        <w:tc>
          <w:tcPr>
            <w:tcW w:w="1439" w:type="dxa"/>
          </w:tcPr>
          <w:p w14:paraId="62BE3875" w14:textId="6B916762" w:rsidR="00A51B77" w:rsidRDefault="00F509D7">
            <w:r>
              <w:t>X</w:t>
            </w:r>
          </w:p>
        </w:tc>
        <w:tc>
          <w:tcPr>
            <w:tcW w:w="1439" w:type="dxa"/>
          </w:tcPr>
          <w:p w14:paraId="3688D2FF" w14:textId="3153813A" w:rsidR="00A51B77" w:rsidRDefault="00A51B77"/>
        </w:tc>
      </w:tr>
      <w:tr w:rsidR="00A51B77" w14:paraId="7A646331" w14:textId="77777777" w:rsidTr="007104F4">
        <w:tc>
          <w:tcPr>
            <w:tcW w:w="2785" w:type="dxa"/>
          </w:tcPr>
          <w:p w14:paraId="3FCDDA53" w14:textId="70CCA75D" w:rsidR="00A51B77" w:rsidRDefault="008F0FDC">
            <w:r>
              <w:t>Concern about infringement on patient autonomy</w:t>
            </w:r>
          </w:p>
        </w:tc>
        <w:tc>
          <w:tcPr>
            <w:tcW w:w="5848" w:type="dxa"/>
          </w:tcPr>
          <w:p w14:paraId="573D8941" w14:textId="2BD11536" w:rsidR="00A51B77" w:rsidRDefault="008F0FDC">
            <w:r>
              <w:t>Concern was expressed about subtle or explicit infringement on a patient’s autonomy, either through directive interpretations or through focusing on material they did not express a wish to engage</w:t>
            </w:r>
          </w:p>
        </w:tc>
        <w:tc>
          <w:tcPr>
            <w:tcW w:w="1439" w:type="dxa"/>
          </w:tcPr>
          <w:p w14:paraId="6EC75A0D" w14:textId="77777777" w:rsidR="00A51B77" w:rsidRDefault="00A51B77"/>
        </w:tc>
        <w:tc>
          <w:tcPr>
            <w:tcW w:w="1439" w:type="dxa"/>
          </w:tcPr>
          <w:p w14:paraId="70D6A3F3" w14:textId="0F2789C5" w:rsidR="00A51B77" w:rsidRDefault="008F0FDC">
            <w:r>
              <w:t>X</w:t>
            </w:r>
          </w:p>
        </w:tc>
        <w:tc>
          <w:tcPr>
            <w:tcW w:w="1439" w:type="dxa"/>
          </w:tcPr>
          <w:p w14:paraId="755C8B99" w14:textId="77777777" w:rsidR="00A51B77" w:rsidRDefault="00A51B77"/>
        </w:tc>
      </w:tr>
      <w:tr w:rsidR="007104F4" w14:paraId="4E8746D7" w14:textId="77777777" w:rsidTr="007104F4">
        <w:tc>
          <w:tcPr>
            <w:tcW w:w="2785" w:type="dxa"/>
          </w:tcPr>
          <w:p w14:paraId="4A8D4A8A" w14:textId="19FE770C" w:rsidR="007104F4" w:rsidRDefault="005C496A">
            <w:r>
              <w:t>Differences between approaches used by co-facilitators</w:t>
            </w:r>
          </w:p>
        </w:tc>
        <w:tc>
          <w:tcPr>
            <w:tcW w:w="5848" w:type="dxa"/>
          </w:tcPr>
          <w:p w14:paraId="29718014" w14:textId="54FFE46A" w:rsidR="007104F4" w:rsidRDefault="005C496A">
            <w:r>
              <w:t>Differences between approaches of the co-facilitators were observed and had an impact either on the therapy or on individuals’ experience of the therapy. These impacts could have been positive (i.e., appreciation of different expertise) or challenging (i.e., tension between co-therapist approaches)</w:t>
            </w:r>
          </w:p>
        </w:tc>
        <w:tc>
          <w:tcPr>
            <w:tcW w:w="1439" w:type="dxa"/>
          </w:tcPr>
          <w:p w14:paraId="024B40FB" w14:textId="77777777" w:rsidR="007104F4" w:rsidRDefault="007104F4"/>
        </w:tc>
        <w:tc>
          <w:tcPr>
            <w:tcW w:w="1439" w:type="dxa"/>
          </w:tcPr>
          <w:p w14:paraId="1C089C20" w14:textId="77EAAACB" w:rsidR="007104F4" w:rsidRDefault="005C496A">
            <w:r>
              <w:t>X</w:t>
            </w:r>
          </w:p>
        </w:tc>
        <w:tc>
          <w:tcPr>
            <w:tcW w:w="1439" w:type="dxa"/>
          </w:tcPr>
          <w:p w14:paraId="115A4149" w14:textId="77777777" w:rsidR="007104F4" w:rsidRDefault="007104F4"/>
        </w:tc>
      </w:tr>
      <w:tr w:rsidR="00B6037F" w14:paraId="2B187E69" w14:textId="77777777" w:rsidTr="007104F4">
        <w:tc>
          <w:tcPr>
            <w:tcW w:w="2785" w:type="dxa"/>
          </w:tcPr>
          <w:p w14:paraId="4C2CE318" w14:textId="1A4DF8BF" w:rsidR="00B6037F" w:rsidRDefault="00B6037F">
            <w:r>
              <w:t>Unexpected last-minute disclosures</w:t>
            </w:r>
          </w:p>
        </w:tc>
        <w:tc>
          <w:tcPr>
            <w:tcW w:w="5848" w:type="dxa"/>
          </w:tcPr>
          <w:p w14:paraId="7110F9D1" w14:textId="37F419CF" w:rsidR="00B6037F" w:rsidRDefault="00B6037F">
            <w:r>
              <w:t>Patients gave important information about themselves, their history, or their experience very shortly before dosing in a way that did not give much time to address these in treatment</w:t>
            </w:r>
          </w:p>
        </w:tc>
        <w:tc>
          <w:tcPr>
            <w:tcW w:w="1439" w:type="dxa"/>
          </w:tcPr>
          <w:p w14:paraId="334CA88F" w14:textId="77777777" w:rsidR="00B6037F" w:rsidRDefault="00B6037F"/>
        </w:tc>
        <w:tc>
          <w:tcPr>
            <w:tcW w:w="1439" w:type="dxa"/>
          </w:tcPr>
          <w:p w14:paraId="1EEB4381" w14:textId="0764410A" w:rsidR="00B6037F" w:rsidRDefault="00B6037F">
            <w:r>
              <w:t>X</w:t>
            </w:r>
          </w:p>
        </w:tc>
        <w:tc>
          <w:tcPr>
            <w:tcW w:w="1439" w:type="dxa"/>
          </w:tcPr>
          <w:p w14:paraId="42895F44" w14:textId="77777777" w:rsidR="00B6037F" w:rsidRDefault="00B6037F"/>
        </w:tc>
      </w:tr>
      <w:tr w:rsidR="00B6037F" w14:paraId="64807AC8" w14:textId="77777777" w:rsidTr="007104F4">
        <w:tc>
          <w:tcPr>
            <w:tcW w:w="2785" w:type="dxa"/>
          </w:tcPr>
          <w:p w14:paraId="452D7B14" w14:textId="1A8BAF61" w:rsidR="00B6037F" w:rsidRDefault="00B6037F">
            <w:r>
              <w:t>Transference and countertransference dynamics</w:t>
            </w:r>
          </w:p>
        </w:tc>
        <w:tc>
          <w:tcPr>
            <w:tcW w:w="5848" w:type="dxa"/>
          </w:tcPr>
          <w:p w14:paraId="7CD77D03" w14:textId="328FD2C6" w:rsidR="00B6037F" w:rsidRDefault="00B6037F">
            <w:r>
              <w:t>Transference or countertransference was observed, which had an impact on the course of the therapy or on the facilitators’ implementation of the treatment</w:t>
            </w:r>
          </w:p>
        </w:tc>
        <w:tc>
          <w:tcPr>
            <w:tcW w:w="1439" w:type="dxa"/>
          </w:tcPr>
          <w:p w14:paraId="71E3D89E" w14:textId="77777777" w:rsidR="00B6037F" w:rsidRDefault="00B6037F"/>
        </w:tc>
        <w:tc>
          <w:tcPr>
            <w:tcW w:w="1439" w:type="dxa"/>
          </w:tcPr>
          <w:p w14:paraId="4CFA2168" w14:textId="5295C6ED" w:rsidR="00B6037F" w:rsidRDefault="00B6037F">
            <w:r>
              <w:t>X</w:t>
            </w:r>
          </w:p>
        </w:tc>
        <w:tc>
          <w:tcPr>
            <w:tcW w:w="1439" w:type="dxa"/>
          </w:tcPr>
          <w:p w14:paraId="32E05DEF" w14:textId="77777777" w:rsidR="00B6037F" w:rsidRDefault="00B6037F"/>
        </w:tc>
      </w:tr>
    </w:tbl>
    <w:p w14:paraId="20667248" w14:textId="77777777" w:rsidR="00455963" w:rsidRDefault="00455963"/>
    <w:p w14:paraId="3CD4287A" w14:textId="77777777" w:rsidR="000F1FE4" w:rsidRDefault="000F1FE4">
      <w:r>
        <w:br w:type="page"/>
      </w:r>
    </w:p>
    <w:p w14:paraId="78989D72" w14:textId="5D526406" w:rsidR="00455963" w:rsidRDefault="000F1FE4">
      <w:r>
        <w:lastRenderedPageBreak/>
        <w:t>Table 5. Contributing Factors</w:t>
      </w:r>
    </w:p>
    <w:tbl>
      <w:tblPr>
        <w:tblStyle w:val="TableGrid"/>
        <w:tblW w:w="0" w:type="auto"/>
        <w:tblLook w:val="04A0" w:firstRow="1" w:lastRow="0" w:firstColumn="1" w:lastColumn="0" w:noHBand="0" w:noVBand="1"/>
      </w:tblPr>
      <w:tblGrid>
        <w:gridCol w:w="2785"/>
        <w:gridCol w:w="5848"/>
        <w:gridCol w:w="1439"/>
        <w:gridCol w:w="1439"/>
        <w:gridCol w:w="1439"/>
      </w:tblGrid>
      <w:tr w:rsidR="000F1FE4" w14:paraId="36F3AA6E" w14:textId="77777777" w:rsidTr="00446392">
        <w:tc>
          <w:tcPr>
            <w:tcW w:w="2785" w:type="dxa"/>
          </w:tcPr>
          <w:p w14:paraId="2885BB43" w14:textId="77777777" w:rsidR="000F1FE4" w:rsidRDefault="000F1FE4" w:rsidP="00446392">
            <w:bookmarkStart w:id="8" w:name="_Hlk161564548"/>
            <w:r>
              <w:t>Term</w:t>
            </w:r>
          </w:p>
        </w:tc>
        <w:tc>
          <w:tcPr>
            <w:tcW w:w="5848" w:type="dxa"/>
          </w:tcPr>
          <w:p w14:paraId="2D6DC7A4" w14:textId="77777777" w:rsidR="000F1FE4" w:rsidRDefault="000F1FE4" w:rsidP="00446392">
            <w:r>
              <w:t>Definition</w:t>
            </w:r>
          </w:p>
        </w:tc>
        <w:tc>
          <w:tcPr>
            <w:tcW w:w="1439" w:type="dxa"/>
          </w:tcPr>
          <w:p w14:paraId="6790B14C" w14:textId="77777777" w:rsidR="000F1FE4" w:rsidRDefault="000F1FE4" w:rsidP="00446392">
            <w:r>
              <w:t>Patients</w:t>
            </w:r>
          </w:p>
        </w:tc>
        <w:tc>
          <w:tcPr>
            <w:tcW w:w="1439" w:type="dxa"/>
          </w:tcPr>
          <w:p w14:paraId="34EE9ED4" w14:textId="77777777" w:rsidR="000F1FE4" w:rsidRDefault="000F1FE4" w:rsidP="00446392">
            <w:r>
              <w:t>Facilitators</w:t>
            </w:r>
          </w:p>
        </w:tc>
        <w:tc>
          <w:tcPr>
            <w:tcW w:w="1439" w:type="dxa"/>
          </w:tcPr>
          <w:p w14:paraId="41500C46" w14:textId="77777777" w:rsidR="000F1FE4" w:rsidRDefault="000F1FE4" w:rsidP="00446392">
            <w:r>
              <w:t>Caregivers</w:t>
            </w:r>
          </w:p>
        </w:tc>
      </w:tr>
      <w:tr w:rsidR="0029592C" w14:paraId="548C4683" w14:textId="77777777" w:rsidTr="00155EB6">
        <w:tc>
          <w:tcPr>
            <w:tcW w:w="12950" w:type="dxa"/>
            <w:gridSpan w:val="5"/>
          </w:tcPr>
          <w:p w14:paraId="52BA6A49" w14:textId="1A8BB7B4" w:rsidR="0029592C" w:rsidRPr="0029592C" w:rsidRDefault="0029592C" w:rsidP="00446392">
            <w:pPr>
              <w:rPr>
                <w:i/>
                <w:iCs/>
              </w:rPr>
            </w:pPr>
            <w:r w:rsidRPr="0029592C">
              <w:rPr>
                <w:i/>
                <w:iCs/>
              </w:rPr>
              <w:t xml:space="preserve">Patient </w:t>
            </w:r>
            <w:r w:rsidR="00B9686B">
              <w:rPr>
                <w:i/>
                <w:iCs/>
              </w:rPr>
              <w:t>f</w:t>
            </w:r>
            <w:r w:rsidRPr="0029592C">
              <w:rPr>
                <w:i/>
                <w:iCs/>
              </w:rPr>
              <w:t>actors</w:t>
            </w:r>
          </w:p>
        </w:tc>
      </w:tr>
      <w:tr w:rsidR="000F1FE4" w14:paraId="6E9007C1" w14:textId="77777777" w:rsidTr="00446392">
        <w:tc>
          <w:tcPr>
            <w:tcW w:w="2785" w:type="dxa"/>
          </w:tcPr>
          <w:p w14:paraId="3CDDFF00" w14:textId="0425716F" w:rsidR="000F1FE4" w:rsidRDefault="001476BD" w:rsidP="000F1FE4">
            <w:r>
              <w:t>Relevance of expectations</w:t>
            </w:r>
          </w:p>
        </w:tc>
        <w:tc>
          <w:tcPr>
            <w:tcW w:w="5848" w:type="dxa"/>
          </w:tcPr>
          <w:p w14:paraId="2B8C6FF4" w14:textId="1770B060" w:rsidR="000F1FE4" w:rsidRDefault="008624BA" w:rsidP="000F1FE4">
            <w:r>
              <w:t>Expectations of patients were experienced as a significant factor influencing the treatment, and especially the dosing session</w:t>
            </w:r>
            <w:r w:rsidR="001476BD">
              <w:t>.</w:t>
            </w:r>
          </w:p>
        </w:tc>
        <w:tc>
          <w:tcPr>
            <w:tcW w:w="1439" w:type="dxa"/>
          </w:tcPr>
          <w:p w14:paraId="45AFAC05" w14:textId="2108B137" w:rsidR="000F1FE4" w:rsidRDefault="008624BA" w:rsidP="000F1FE4">
            <w:r>
              <w:t>X</w:t>
            </w:r>
          </w:p>
        </w:tc>
        <w:tc>
          <w:tcPr>
            <w:tcW w:w="1439" w:type="dxa"/>
          </w:tcPr>
          <w:p w14:paraId="7F67277C" w14:textId="77777777" w:rsidR="000F1FE4" w:rsidRDefault="000F1FE4" w:rsidP="000F1FE4"/>
        </w:tc>
        <w:tc>
          <w:tcPr>
            <w:tcW w:w="1439" w:type="dxa"/>
          </w:tcPr>
          <w:p w14:paraId="3362C0ED" w14:textId="4F87A167" w:rsidR="000F1FE4" w:rsidRDefault="00370267" w:rsidP="000F1FE4">
            <w:r>
              <w:t>X</w:t>
            </w:r>
          </w:p>
        </w:tc>
      </w:tr>
      <w:tr w:rsidR="000F1FE4" w14:paraId="1B2C75B4" w14:textId="77777777" w:rsidTr="00446392">
        <w:tc>
          <w:tcPr>
            <w:tcW w:w="2785" w:type="dxa"/>
          </w:tcPr>
          <w:p w14:paraId="26867824" w14:textId="2D7C26D0" w:rsidR="000F1FE4" w:rsidRDefault="00370267" w:rsidP="000F1FE4">
            <w:r>
              <w:t>Cleared schedule post-dosing</w:t>
            </w:r>
          </w:p>
        </w:tc>
        <w:tc>
          <w:tcPr>
            <w:tcW w:w="5848" w:type="dxa"/>
          </w:tcPr>
          <w:p w14:paraId="0FBBCED4" w14:textId="0029FA97" w:rsidR="000F1FE4" w:rsidRDefault="00370267" w:rsidP="000F1FE4">
            <w:r>
              <w:t>Patients described the usefulness of having unstructured and uncommitted time one, or several, days after the session.</w:t>
            </w:r>
          </w:p>
        </w:tc>
        <w:tc>
          <w:tcPr>
            <w:tcW w:w="1439" w:type="dxa"/>
          </w:tcPr>
          <w:p w14:paraId="32FA5503" w14:textId="657F2FD8" w:rsidR="000F1FE4" w:rsidRDefault="00370267" w:rsidP="000F1FE4">
            <w:r>
              <w:t>X</w:t>
            </w:r>
          </w:p>
        </w:tc>
        <w:tc>
          <w:tcPr>
            <w:tcW w:w="1439" w:type="dxa"/>
          </w:tcPr>
          <w:p w14:paraId="489C1E32" w14:textId="77777777" w:rsidR="000F1FE4" w:rsidRDefault="000F1FE4" w:rsidP="000F1FE4"/>
        </w:tc>
        <w:tc>
          <w:tcPr>
            <w:tcW w:w="1439" w:type="dxa"/>
          </w:tcPr>
          <w:p w14:paraId="283F304B" w14:textId="77777777" w:rsidR="000F1FE4" w:rsidRDefault="000F1FE4" w:rsidP="000F1FE4"/>
        </w:tc>
      </w:tr>
      <w:tr w:rsidR="000F1FE4" w14:paraId="2C8DF590" w14:textId="77777777" w:rsidTr="00446392">
        <w:tc>
          <w:tcPr>
            <w:tcW w:w="2785" w:type="dxa"/>
          </w:tcPr>
          <w:p w14:paraId="13AC46AC" w14:textId="74865657" w:rsidR="000F1FE4" w:rsidRDefault="00783B2B" w:rsidP="000F1FE4">
            <w:r>
              <w:t>Being able to let go</w:t>
            </w:r>
          </w:p>
        </w:tc>
        <w:tc>
          <w:tcPr>
            <w:tcW w:w="5848" w:type="dxa"/>
          </w:tcPr>
          <w:p w14:paraId="531FE483" w14:textId="5357C0F5" w:rsidR="000F1FE4" w:rsidRDefault="00783B2B" w:rsidP="000F1FE4">
            <w:r>
              <w:t>Patients described the importance of the subjective experience of “letting go”, which was supported by a sense of safety in the treatment and was perceived to contribute to treatment benefits</w:t>
            </w:r>
          </w:p>
        </w:tc>
        <w:tc>
          <w:tcPr>
            <w:tcW w:w="1439" w:type="dxa"/>
          </w:tcPr>
          <w:p w14:paraId="098E5FFE" w14:textId="6892520A" w:rsidR="000F1FE4" w:rsidRDefault="00783B2B" w:rsidP="000F1FE4">
            <w:r>
              <w:t>X</w:t>
            </w:r>
          </w:p>
        </w:tc>
        <w:tc>
          <w:tcPr>
            <w:tcW w:w="1439" w:type="dxa"/>
          </w:tcPr>
          <w:p w14:paraId="3605440D" w14:textId="77777777" w:rsidR="000F1FE4" w:rsidRDefault="000F1FE4" w:rsidP="000F1FE4"/>
        </w:tc>
        <w:tc>
          <w:tcPr>
            <w:tcW w:w="1439" w:type="dxa"/>
          </w:tcPr>
          <w:p w14:paraId="03108A15" w14:textId="59A55798" w:rsidR="000F1FE4" w:rsidRDefault="000F1FE4" w:rsidP="000F1FE4"/>
        </w:tc>
      </w:tr>
      <w:tr w:rsidR="000F1FE4" w14:paraId="39A038CF" w14:textId="77777777" w:rsidTr="00446392">
        <w:tc>
          <w:tcPr>
            <w:tcW w:w="2785" w:type="dxa"/>
          </w:tcPr>
          <w:p w14:paraId="5D12560D" w14:textId="5415CC4D" w:rsidR="000F1FE4" w:rsidRDefault="00783B2B" w:rsidP="000F1FE4">
            <w:r>
              <w:t>Distinction of sacred experience in dosing vs. mundane trial atmosphere</w:t>
            </w:r>
          </w:p>
        </w:tc>
        <w:tc>
          <w:tcPr>
            <w:tcW w:w="5848" w:type="dxa"/>
          </w:tcPr>
          <w:p w14:paraId="237C1F2B" w14:textId="0CA48865" w:rsidR="000F1FE4" w:rsidRDefault="00783B2B" w:rsidP="000F1FE4">
            <w:r>
              <w:t>Patients discussed the subjective distinction they experienced of sacred moments or experiences during dosing on one hand, and the mundane procedures of being in the trial or going home.</w:t>
            </w:r>
          </w:p>
        </w:tc>
        <w:tc>
          <w:tcPr>
            <w:tcW w:w="1439" w:type="dxa"/>
          </w:tcPr>
          <w:p w14:paraId="6BC4846B" w14:textId="1F1144B0" w:rsidR="000F1FE4" w:rsidRDefault="00783B2B" w:rsidP="000F1FE4">
            <w:r>
              <w:t>X</w:t>
            </w:r>
          </w:p>
        </w:tc>
        <w:tc>
          <w:tcPr>
            <w:tcW w:w="1439" w:type="dxa"/>
          </w:tcPr>
          <w:p w14:paraId="6D18E7DE" w14:textId="1FB79711" w:rsidR="000F1FE4" w:rsidRDefault="000F1FE4" w:rsidP="000F1FE4"/>
        </w:tc>
        <w:tc>
          <w:tcPr>
            <w:tcW w:w="1439" w:type="dxa"/>
          </w:tcPr>
          <w:p w14:paraId="6F84182C" w14:textId="77777777" w:rsidR="000F1FE4" w:rsidRDefault="000F1FE4" w:rsidP="000F1FE4"/>
        </w:tc>
      </w:tr>
      <w:tr w:rsidR="000F1FE4" w14:paraId="3DADEFA6" w14:textId="77777777" w:rsidTr="00446392">
        <w:tc>
          <w:tcPr>
            <w:tcW w:w="2785" w:type="dxa"/>
          </w:tcPr>
          <w:p w14:paraId="52B03B88" w14:textId="54702ECE" w:rsidR="000F1FE4" w:rsidRDefault="0069335C" w:rsidP="000F1FE4">
            <w:r>
              <w:t>Ability to advocate for oneself</w:t>
            </w:r>
          </w:p>
        </w:tc>
        <w:tc>
          <w:tcPr>
            <w:tcW w:w="5848" w:type="dxa"/>
          </w:tcPr>
          <w:p w14:paraId="4DE8C48B" w14:textId="594DD1A8" w:rsidR="000F1FE4" w:rsidRDefault="0069335C" w:rsidP="000F1FE4">
            <w:r>
              <w:t>Patients discussed the importance of being able to advocate for themselves in order to make changes to procedures as they went through the PAT. Such changes were not always possible (e.g. changing music) but explanations or accommodating responses were appreciated.</w:t>
            </w:r>
          </w:p>
        </w:tc>
        <w:tc>
          <w:tcPr>
            <w:tcW w:w="1439" w:type="dxa"/>
          </w:tcPr>
          <w:p w14:paraId="75C8F72A" w14:textId="19710DB9" w:rsidR="000F1FE4" w:rsidRDefault="0069335C" w:rsidP="000F1FE4">
            <w:r>
              <w:t>X</w:t>
            </w:r>
          </w:p>
        </w:tc>
        <w:tc>
          <w:tcPr>
            <w:tcW w:w="1439" w:type="dxa"/>
          </w:tcPr>
          <w:p w14:paraId="39BEEAF6" w14:textId="612B3985" w:rsidR="000F1FE4" w:rsidRDefault="000F1FE4" w:rsidP="000F1FE4"/>
        </w:tc>
        <w:tc>
          <w:tcPr>
            <w:tcW w:w="1439" w:type="dxa"/>
          </w:tcPr>
          <w:p w14:paraId="6C48BE00" w14:textId="77777777" w:rsidR="000F1FE4" w:rsidRDefault="000F1FE4" w:rsidP="000F1FE4"/>
        </w:tc>
      </w:tr>
      <w:tr w:rsidR="000F1FE4" w14:paraId="19467AB9" w14:textId="77777777" w:rsidTr="00446392">
        <w:tc>
          <w:tcPr>
            <w:tcW w:w="2785" w:type="dxa"/>
          </w:tcPr>
          <w:p w14:paraId="54CF91A3" w14:textId="29A6FECB" w:rsidR="000F1FE4" w:rsidRDefault="00D11A15" w:rsidP="000F1FE4">
            <w:r>
              <w:t>Unique medical circumstances of study participants</w:t>
            </w:r>
          </w:p>
        </w:tc>
        <w:tc>
          <w:tcPr>
            <w:tcW w:w="5848" w:type="dxa"/>
          </w:tcPr>
          <w:p w14:paraId="3A130E5B" w14:textId="2E00A2AD" w:rsidR="000F1FE4" w:rsidRDefault="00883676" w:rsidP="000F1FE4">
            <w:r>
              <w:t>The differences in medical status and history of the patients in this study was noted as an contributing factor to PAT execution and outcomes. It was recognized that patients had more medical comorbidity, which required deliberate attention.</w:t>
            </w:r>
          </w:p>
        </w:tc>
        <w:tc>
          <w:tcPr>
            <w:tcW w:w="1439" w:type="dxa"/>
          </w:tcPr>
          <w:p w14:paraId="081A815E" w14:textId="06897137" w:rsidR="000F1FE4" w:rsidRDefault="00D11A15" w:rsidP="000F1FE4">
            <w:r>
              <w:t>X</w:t>
            </w:r>
          </w:p>
        </w:tc>
        <w:tc>
          <w:tcPr>
            <w:tcW w:w="1439" w:type="dxa"/>
          </w:tcPr>
          <w:p w14:paraId="7BE1B17C" w14:textId="50A293E6" w:rsidR="000F1FE4" w:rsidRDefault="00883676" w:rsidP="000F1FE4">
            <w:r>
              <w:t>X</w:t>
            </w:r>
          </w:p>
        </w:tc>
        <w:tc>
          <w:tcPr>
            <w:tcW w:w="1439" w:type="dxa"/>
          </w:tcPr>
          <w:p w14:paraId="1C62E70C" w14:textId="005B7BA2" w:rsidR="000F1FE4" w:rsidRDefault="000F1FE4" w:rsidP="000F1FE4"/>
        </w:tc>
      </w:tr>
      <w:tr w:rsidR="000F1FE4" w14:paraId="50DE77E3" w14:textId="77777777" w:rsidTr="00446392">
        <w:tc>
          <w:tcPr>
            <w:tcW w:w="2785" w:type="dxa"/>
          </w:tcPr>
          <w:p w14:paraId="3FDEC9FF" w14:textId="431C7577" w:rsidR="000F1FE4" w:rsidRDefault="000C3BE9" w:rsidP="000F1FE4">
            <w:r>
              <w:t>Appreciation for medical aspects of treatment setting</w:t>
            </w:r>
          </w:p>
        </w:tc>
        <w:tc>
          <w:tcPr>
            <w:tcW w:w="5848" w:type="dxa"/>
          </w:tcPr>
          <w:p w14:paraId="60F81DB7" w14:textId="7B9ADE1E" w:rsidR="000F1FE4" w:rsidRDefault="000C3BE9" w:rsidP="000F1FE4">
            <w:r>
              <w:t>Medical oversight and context of the PAT was deemed to provide a sense of safety and responsiveness to medical concerns if they should arise</w:t>
            </w:r>
          </w:p>
        </w:tc>
        <w:tc>
          <w:tcPr>
            <w:tcW w:w="1439" w:type="dxa"/>
          </w:tcPr>
          <w:p w14:paraId="2998ECC5" w14:textId="02EAA893" w:rsidR="000F1FE4" w:rsidRDefault="000F1FE4" w:rsidP="000F1FE4"/>
        </w:tc>
        <w:tc>
          <w:tcPr>
            <w:tcW w:w="1439" w:type="dxa"/>
          </w:tcPr>
          <w:p w14:paraId="6ABFFBA2" w14:textId="7F51CF2A" w:rsidR="000F1FE4" w:rsidRDefault="000C3BE9" w:rsidP="000F1FE4">
            <w:r>
              <w:t>X</w:t>
            </w:r>
          </w:p>
        </w:tc>
        <w:tc>
          <w:tcPr>
            <w:tcW w:w="1439" w:type="dxa"/>
          </w:tcPr>
          <w:p w14:paraId="62256D49" w14:textId="00856E35" w:rsidR="000F1FE4" w:rsidRDefault="000C3BE9" w:rsidP="000F1FE4">
            <w:r>
              <w:t>X</w:t>
            </w:r>
          </w:p>
        </w:tc>
      </w:tr>
      <w:tr w:rsidR="000F1FE4" w14:paraId="43A2D9DD" w14:textId="77777777" w:rsidTr="00446392">
        <w:tc>
          <w:tcPr>
            <w:tcW w:w="2785" w:type="dxa"/>
          </w:tcPr>
          <w:p w14:paraId="01AA2EAA" w14:textId="71C673A6" w:rsidR="000F1FE4" w:rsidRDefault="000C3BE9" w:rsidP="000F1FE4">
            <w:r>
              <w:lastRenderedPageBreak/>
              <w:t>Instructions to discontinue medications prior to dosing</w:t>
            </w:r>
          </w:p>
        </w:tc>
        <w:tc>
          <w:tcPr>
            <w:tcW w:w="5848" w:type="dxa"/>
          </w:tcPr>
          <w:p w14:paraId="78CCD226" w14:textId="6F7ED043" w:rsidR="000F1FE4" w:rsidRDefault="000C3BE9" w:rsidP="000F1FE4">
            <w:r>
              <w:t>Patients received instructions to discontinue some medications that may interact with psilocybin dosing, including antidepressant medications and (shortly prior to dosing) pain medications. This was deemed impactful, though not harmful, by stakeholders</w:t>
            </w:r>
          </w:p>
        </w:tc>
        <w:tc>
          <w:tcPr>
            <w:tcW w:w="1439" w:type="dxa"/>
          </w:tcPr>
          <w:p w14:paraId="64A6E3F4" w14:textId="6F089A17" w:rsidR="000F1FE4" w:rsidRDefault="000C3BE9" w:rsidP="000F1FE4">
            <w:r>
              <w:t>X</w:t>
            </w:r>
          </w:p>
        </w:tc>
        <w:tc>
          <w:tcPr>
            <w:tcW w:w="1439" w:type="dxa"/>
          </w:tcPr>
          <w:p w14:paraId="7183FF73" w14:textId="380C5905" w:rsidR="000F1FE4" w:rsidRDefault="000C3BE9" w:rsidP="000F1FE4">
            <w:r>
              <w:t>X</w:t>
            </w:r>
          </w:p>
        </w:tc>
        <w:tc>
          <w:tcPr>
            <w:tcW w:w="1439" w:type="dxa"/>
          </w:tcPr>
          <w:p w14:paraId="6FEBC99F" w14:textId="4CBFE79D" w:rsidR="000F1FE4" w:rsidRDefault="000C3BE9" w:rsidP="000F1FE4">
            <w:r>
              <w:t>X</w:t>
            </w:r>
          </w:p>
        </w:tc>
      </w:tr>
      <w:tr w:rsidR="00F03D53" w14:paraId="6D309688" w14:textId="77777777" w:rsidTr="00624DD9">
        <w:tc>
          <w:tcPr>
            <w:tcW w:w="12950" w:type="dxa"/>
            <w:gridSpan w:val="5"/>
          </w:tcPr>
          <w:p w14:paraId="455BC8BB" w14:textId="24C608A4" w:rsidR="00F03D53" w:rsidRPr="00F03D53" w:rsidRDefault="00F03D53" w:rsidP="000F1FE4">
            <w:pPr>
              <w:rPr>
                <w:i/>
                <w:iCs/>
              </w:rPr>
            </w:pPr>
            <w:r>
              <w:rPr>
                <w:i/>
                <w:iCs/>
              </w:rPr>
              <w:t>Treatment team factors</w:t>
            </w:r>
          </w:p>
        </w:tc>
      </w:tr>
      <w:tr w:rsidR="000F1FE4" w14:paraId="30B52D34" w14:textId="77777777" w:rsidTr="00446392">
        <w:tc>
          <w:tcPr>
            <w:tcW w:w="2785" w:type="dxa"/>
          </w:tcPr>
          <w:p w14:paraId="598CCBED" w14:textId="0F02D02F" w:rsidR="000F1FE4" w:rsidRDefault="006F1336" w:rsidP="000F1FE4">
            <w:r>
              <w:t>Rapport</w:t>
            </w:r>
          </w:p>
        </w:tc>
        <w:tc>
          <w:tcPr>
            <w:tcW w:w="5848" w:type="dxa"/>
          </w:tcPr>
          <w:p w14:paraId="0978185F" w14:textId="6647A4AC" w:rsidR="000F1FE4" w:rsidRDefault="006F1336" w:rsidP="000F1FE4">
            <w:r>
              <w:t>A therapeutic bond, trust between patients and facilitators, or sense of positive relationship were deemed to have a positive role. This included the experience of facilitators and other team members (e.g. study physicians) as warm and supportive.</w:t>
            </w:r>
          </w:p>
        </w:tc>
        <w:tc>
          <w:tcPr>
            <w:tcW w:w="1439" w:type="dxa"/>
          </w:tcPr>
          <w:p w14:paraId="5F4B9CBF" w14:textId="65854807" w:rsidR="000F1FE4" w:rsidRDefault="006F1336" w:rsidP="000F1FE4">
            <w:r>
              <w:t>X</w:t>
            </w:r>
          </w:p>
        </w:tc>
        <w:tc>
          <w:tcPr>
            <w:tcW w:w="1439" w:type="dxa"/>
          </w:tcPr>
          <w:p w14:paraId="72C939FA" w14:textId="564FB249" w:rsidR="000F1FE4" w:rsidRDefault="000F1FE4" w:rsidP="000F1FE4"/>
        </w:tc>
        <w:tc>
          <w:tcPr>
            <w:tcW w:w="1439" w:type="dxa"/>
          </w:tcPr>
          <w:p w14:paraId="2CC22FEC" w14:textId="4A777E8C" w:rsidR="000F1FE4" w:rsidRDefault="006F1336" w:rsidP="000F1FE4">
            <w:r>
              <w:t>X</w:t>
            </w:r>
          </w:p>
        </w:tc>
      </w:tr>
      <w:tr w:rsidR="000F1FE4" w14:paraId="24B7840E" w14:textId="77777777" w:rsidTr="00446392">
        <w:tc>
          <w:tcPr>
            <w:tcW w:w="2785" w:type="dxa"/>
          </w:tcPr>
          <w:p w14:paraId="3193EDC5" w14:textId="0FCD5AC3" w:rsidR="000F1FE4" w:rsidRDefault="00D91CF8" w:rsidP="000F1FE4">
            <w:r>
              <w:t>Appreciation of emotional expression from treatment team</w:t>
            </w:r>
          </w:p>
        </w:tc>
        <w:tc>
          <w:tcPr>
            <w:tcW w:w="5848" w:type="dxa"/>
          </w:tcPr>
          <w:p w14:paraId="13157C28" w14:textId="2B5EE23F" w:rsidR="000F1FE4" w:rsidRDefault="00D91CF8" w:rsidP="000F1FE4">
            <w:r>
              <w:t>Facilitator emotional disclosure, or visible expression of emotion, was remarked upon as contributing to positive treatment experiences</w:t>
            </w:r>
          </w:p>
        </w:tc>
        <w:tc>
          <w:tcPr>
            <w:tcW w:w="1439" w:type="dxa"/>
          </w:tcPr>
          <w:p w14:paraId="3A48B8FD" w14:textId="721A6120" w:rsidR="000F1FE4" w:rsidRDefault="00D91CF8" w:rsidP="000F1FE4">
            <w:r>
              <w:t>X</w:t>
            </w:r>
          </w:p>
        </w:tc>
        <w:tc>
          <w:tcPr>
            <w:tcW w:w="1439" w:type="dxa"/>
          </w:tcPr>
          <w:p w14:paraId="12ED8D11" w14:textId="790D0B72" w:rsidR="000F1FE4" w:rsidRDefault="00D91CF8" w:rsidP="000F1FE4">
            <w:r>
              <w:t>X</w:t>
            </w:r>
          </w:p>
        </w:tc>
        <w:tc>
          <w:tcPr>
            <w:tcW w:w="1439" w:type="dxa"/>
          </w:tcPr>
          <w:p w14:paraId="3E497FC5" w14:textId="1DBC5695" w:rsidR="000F1FE4" w:rsidRDefault="000F1FE4" w:rsidP="000F1FE4"/>
        </w:tc>
      </w:tr>
      <w:tr w:rsidR="000F1FE4" w14:paraId="6C109B94" w14:textId="77777777" w:rsidTr="00446392">
        <w:tc>
          <w:tcPr>
            <w:tcW w:w="2785" w:type="dxa"/>
          </w:tcPr>
          <w:p w14:paraId="2F51DE9C" w14:textId="5BD5852F" w:rsidR="000F1FE4" w:rsidRDefault="00AC2D6F" w:rsidP="000F1FE4">
            <w:r>
              <w:t>Treatment team diversity</w:t>
            </w:r>
          </w:p>
        </w:tc>
        <w:tc>
          <w:tcPr>
            <w:tcW w:w="5848" w:type="dxa"/>
          </w:tcPr>
          <w:p w14:paraId="72D5D21F" w14:textId="16F31A1E" w:rsidR="000F1FE4" w:rsidRDefault="00AC2D6F" w:rsidP="000F1FE4">
            <w:r>
              <w:t>Having a treatment team that included multiple gender, racial, and cultural identities was deemed positive for the treatment</w:t>
            </w:r>
          </w:p>
        </w:tc>
        <w:tc>
          <w:tcPr>
            <w:tcW w:w="1439" w:type="dxa"/>
          </w:tcPr>
          <w:p w14:paraId="0FEAEC18" w14:textId="3FB3802C" w:rsidR="000F1FE4" w:rsidRDefault="000F1FE4" w:rsidP="000F1FE4"/>
        </w:tc>
        <w:tc>
          <w:tcPr>
            <w:tcW w:w="1439" w:type="dxa"/>
          </w:tcPr>
          <w:p w14:paraId="42701FDF" w14:textId="6448F93D" w:rsidR="000F1FE4" w:rsidRDefault="00FE42DC" w:rsidP="000F1FE4">
            <w:r>
              <w:t>X</w:t>
            </w:r>
          </w:p>
        </w:tc>
        <w:tc>
          <w:tcPr>
            <w:tcW w:w="1439" w:type="dxa"/>
          </w:tcPr>
          <w:p w14:paraId="62838EF8" w14:textId="77777777" w:rsidR="000F1FE4" w:rsidRDefault="000F1FE4" w:rsidP="000F1FE4"/>
        </w:tc>
      </w:tr>
      <w:tr w:rsidR="000F1FE4" w14:paraId="0F3F0BBA" w14:textId="77777777" w:rsidTr="00446392">
        <w:tc>
          <w:tcPr>
            <w:tcW w:w="2785" w:type="dxa"/>
          </w:tcPr>
          <w:p w14:paraId="542D74A6" w14:textId="07F61BCF" w:rsidR="000F1FE4" w:rsidRDefault="0013521B" w:rsidP="000F1FE4">
            <w:r>
              <w:t>Co-facilitation by both spiritual health clinician and mental health clinician</w:t>
            </w:r>
          </w:p>
        </w:tc>
        <w:tc>
          <w:tcPr>
            <w:tcW w:w="5848" w:type="dxa"/>
          </w:tcPr>
          <w:p w14:paraId="6EE0F61E" w14:textId="76ECB3FB" w:rsidR="000F1FE4" w:rsidRDefault="0013521B" w:rsidP="000F1FE4">
            <w:r>
              <w:t>The perspectives, expertise, and interaction between professionals in mental health and spiritual health roles working together as co-facilitators was deemed helpful</w:t>
            </w:r>
          </w:p>
        </w:tc>
        <w:tc>
          <w:tcPr>
            <w:tcW w:w="1439" w:type="dxa"/>
          </w:tcPr>
          <w:p w14:paraId="3703A616" w14:textId="71C188BC" w:rsidR="000F1FE4" w:rsidRDefault="0013521B" w:rsidP="000F1FE4">
            <w:r>
              <w:t>X</w:t>
            </w:r>
          </w:p>
        </w:tc>
        <w:tc>
          <w:tcPr>
            <w:tcW w:w="1439" w:type="dxa"/>
          </w:tcPr>
          <w:p w14:paraId="22077AF4" w14:textId="28A78B82" w:rsidR="000F1FE4" w:rsidRDefault="0013521B" w:rsidP="000F1FE4">
            <w:r>
              <w:t>X</w:t>
            </w:r>
          </w:p>
        </w:tc>
        <w:tc>
          <w:tcPr>
            <w:tcW w:w="1439" w:type="dxa"/>
          </w:tcPr>
          <w:p w14:paraId="140497C5" w14:textId="3E9FD3C4" w:rsidR="000F1FE4" w:rsidRDefault="0013521B" w:rsidP="000F1FE4">
            <w:r>
              <w:t>X</w:t>
            </w:r>
          </w:p>
        </w:tc>
      </w:tr>
      <w:tr w:rsidR="000F1FE4" w14:paraId="2111E573" w14:textId="77777777" w:rsidTr="00446392">
        <w:tc>
          <w:tcPr>
            <w:tcW w:w="2785" w:type="dxa"/>
          </w:tcPr>
          <w:p w14:paraId="00B1AA07" w14:textId="539BF330" w:rsidR="000F1FE4" w:rsidRDefault="00405304" w:rsidP="000F1FE4">
            <w:r>
              <w:t>Co-facilitator</w:t>
            </w:r>
          </w:p>
        </w:tc>
        <w:tc>
          <w:tcPr>
            <w:tcW w:w="5848" w:type="dxa"/>
          </w:tcPr>
          <w:p w14:paraId="3AD47EA6" w14:textId="4869AAE7" w:rsidR="000F1FE4" w:rsidRDefault="00405304" w:rsidP="000F1FE4">
            <w:r>
              <w:t xml:space="preserve">The co-facilitator, in and of themselves, was discussed as contributing to the quality of care in the PAT </w:t>
            </w:r>
          </w:p>
        </w:tc>
        <w:tc>
          <w:tcPr>
            <w:tcW w:w="1439" w:type="dxa"/>
          </w:tcPr>
          <w:p w14:paraId="050B7150" w14:textId="77777777" w:rsidR="000F1FE4" w:rsidRDefault="000F1FE4" w:rsidP="000F1FE4"/>
        </w:tc>
        <w:tc>
          <w:tcPr>
            <w:tcW w:w="1439" w:type="dxa"/>
          </w:tcPr>
          <w:p w14:paraId="2306C230" w14:textId="18CE3018" w:rsidR="000F1FE4" w:rsidRDefault="00405304" w:rsidP="000F1FE4">
            <w:r>
              <w:t>X</w:t>
            </w:r>
          </w:p>
        </w:tc>
        <w:tc>
          <w:tcPr>
            <w:tcW w:w="1439" w:type="dxa"/>
          </w:tcPr>
          <w:p w14:paraId="555460C9" w14:textId="77777777" w:rsidR="000F1FE4" w:rsidRDefault="000F1FE4" w:rsidP="000F1FE4"/>
        </w:tc>
      </w:tr>
      <w:tr w:rsidR="000F1FE4" w14:paraId="26AE0FAE" w14:textId="77777777" w:rsidTr="00446392">
        <w:tc>
          <w:tcPr>
            <w:tcW w:w="2785" w:type="dxa"/>
          </w:tcPr>
          <w:p w14:paraId="469C2BDE" w14:textId="3C81A725" w:rsidR="000F1FE4" w:rsidRDefault="00405304" w:rsidP="000F1FE4">
            <w:r>
              <w:t>Distinctiveness of roles between co-facilitators</w:t>
            </w:r>
          </w:p>
        </w:tc>
        <w:tc>
          <w:tcPr>
            <w:tcW w:w="5848" w:type="dxa"/>
          </w:tcPr>
          <w:p w14:paraId="704BBB3D" w14:textId="7FDB772B" w:rsidR="000F1FE4" w:rsidRDefault="00405304" w:rsidP="000F1FE4">
            <w:r>
              <w:t>Having facilitators who enacted different roles (spiritual health) actively on the co-facilitation team was appreciated</w:t>
            </w:r>
          </w:p>
        </w:tc>
        <w:tc>
          <w:tcPr>
            <w:tcW w:w="1439" w:type="dxa"/>
          </w:tcPr>
          <w:p w14:paraId="245AF9F7" w14:textId="058A3F49" w:rsidR="000F1FE4" w:rsidRDefault="000F1FE4" w:rsidP="000F1FE4"/>
        </w:tc>
        <w:tc>
          <w:tcPr>
            <w:tcW w:w="1439" w:type="dxa"/>
          </w:tcPr>
          <w:p w14:paraId="5134344C" w14:textId="23AA8161" w:rsidR="000F1FE4" w:rsidRDefault="00405304" w:rsidP="000F1FE4">
            <w:r>
              <w:t>X</w:t>
            </w:r>
          </w:p>
        </w:tc>
        <w:tc>
          <w:tcPr>
            <w:tcW w:w="1439" w:type="dxa"/>
          </w:tcPr>
          <w:p w14:paraId="5AC730F5" w14:textId="77777777" w:rsidR="000F1FE4" w:rsidRDefault="000F1FE4" w:rsidP="000F1FE4"/>
        </w:tc>
      </w:tr>
      <w:tr w:rsidR="000F1FE4" w14:paraId="19118C21" w14:textId="77777777" w:rsidTr="00446392">
        <w:tc>
          <w:tcPr>
            <w:tcW w:w="2785" w:type="dxa"/>
          </w:tcPr>
          <w:p w14:paraId="7E9C5688" w14:textId="4BEAF84B" w:rsidR="000F1FE4" w:rsidRDefault="008F42F0" w:rsidP="000F1FE4">
            <w:bookmarkStart w:id="9" w:name="_Hlk161522763"/>
            <w:r>
              <w:t>Tension between co-facilitator modalities</w:t>
            </w:r>
          </w:p>
        </w:tc>
        <w:tc>
          <w:tcPr>
            <w:tcW w:w="5848" w:type="dxa"/>
          </w:tcPr>
          <w:p w14:paraId="4EB094D1" w14:textId="481B7388" w:rsidR="000F1FE4" w:rsidRDefault="008F42F0" w:rsidP="000F1FE4">
            <w:r>
              <w:t>Differences in modalities or therapy preferences of co-facilitators were experienced as a tension in carrying out the PAT</w:t>
            </w:r>
          </w:p>
        </w:tc>
        <w:tc>
          <w:tcPr>
            <w:tcW w:w="1439" w:type="dxa"/>
          </w:tcPr>
          <w:p w14:paraId="674A080A" w14:textId="77777777" w:rsidR="000F1FE4" w:rsidRDefault="000F1FE4" w:rsidP="000F1FE4"/>
        </w:tc>
        <w:tc>
          <w:tcPr>
            <w:tcW w:w="1439" w:type="dxa"/>
          </w:tcPr>
          <w:p w14:paraId="1E2359FA" w14:textId="602C0E75" w:rsidR="000F1FE4" w:rsidRDefault="008F42F0" w:rsidP="000F1FE4">
            <w:r>
              <w:t>X</w:t>
            </w:r>
          </w:p>
        </w:tc>
        <w:tc>
          <w:tcPr>
            <w:tcW w:w="1439" w:type="dxa"/>
          </w:tcPr>
          <w:p w14:paraId="4D3F8657" w14:textId="77777777" w:rsidR="000F1FE4" w:rsidRDefault="000F1FE4" w:rsidP="000F1FE4"/>
        </w:tc>
      </w:tr>
      <w:tr w:rsidR="0086575C" w14:paraId="03B9A7B9" w14:textId="77777777" w:rsidTr="003B4592">
        <w:tc>
          <w:tcPr>
            <w:tcW w:w="12950" w:type="dxa"/>
            <w:gridSpan w:val="5"/>
          </w:tcPr>
          <w:p w14:paraId="209809B8" w14:textId="107A90E3" w:rsidR="0086575C" w:rsidRPr="0086575C" w:rsidRDefault="0086575C" w:rsidP="000F1FE4">
            <w:pPr>
              <w:rPr>
                <w:i/>
                <w:iCs/>
              </w:rPr>
            </w:pPr>
            <w:r>
              <w:rPr>
                <w:i/>
                <w:iCs/>
              </w:rPr>
              <w:t>Protocol factors</w:t>
            </w:r>
          </w:p>
        </w:tc>
      </w:tr>
      <w:tr w:rsidR="000F1FE4" w14:paraId="2A2F916A" w14:textId="77777777" w:rsidTr="00446392">
        <w:tc>
          <w:tcPr>
            <w:tcW w:w="2785" w:type="dxa"/>
          </w:tcPr>
          <w:p w14:paraId="51397D44" w14:textId="37EE4621" w:rsidR="000F1FE4" w:rsidRDefault="0029592C" w:rsidP="000F1FE4">
            <w:r>
              <w:t>Intention-setting</w:t>
            </w:r>
          </w:p>
        </w:tc>
        <w:tc>
          <w:tcPr>
            <w:tcW w:w="5848" w:type="dxa"/>
          </w:tcPr>
          <w:p w14:paraId="25878B26" w14:textId="60ED84B9" w:rsidR="000F1FE4" w:rsidRDefault="0086575C" w:rsidP="000F1FE4">
            <w:r>
              <w:t xml:space="preserve">Deliberate intention-setting </w:t>
            </w:r>
            <w:r w:rsidR="009D69CD">
              <w:t xml:space="preserve">for the PAT and dosing session </w:t>
            </w:r>
            <w:r>
              <w:t>was valued and experienced as an important contribution to the PAT experience and outcomes</w:t>
            </w:r>
          </w:p>
        </w:tc>
        <w:tc>
          <w:tcPr>
            <w:tcW w:w="1439" w:type="dxa"/>
          </w:tcPr>
          <w:p w14:paraId="5BF1E46E" w14:textId="61FFB0A7" w:rsidR="000F1FE4" w:rsidRDefault="0086575C" w:rsidP="000F1FE4">
            <w:r>
              <w:t>X</w:t>
            </w:r>
          </w:p>
        </w:tc>
        <w:tc>
          <w:tcPr>
            <w:tcW w:w="1439" w:type="dxa"/>
          </w:tcPr>
          <w:p w14:paraId="69D52F91" w14:textId="02EBF312" w:rsidR="000F1FE4" w:rsidRDefault="000F1FE4" w:rsidP="000F1FE4"/>
        </w:tc>
        <w:tc>
          <w:tcPr>
            <w:tcW w:w="1439" w:type="dxa"/>
          </w:tcPr>
          <w:p w14:paraId="328EC530" w14:textId="77777777" w:rsidR="000F1FE4" w:rsidRDefault="000F1FE4" w:rsidP="000F1FE4"/>
        </w:tc>
      </w:tr>
      <w:tr w:rsidR="000F1FE4" w14:paraId="079524C9" w14:textId="77777777" w:rsidTr="00446392">
        <w:tc>
          <w:tcPr>
            <w:tcW w:w="2785" w:type="dxa"/>
          </w:tcPr>
          <w:p w14:paraId="7DEA5437" w14:textId="3CDAA574" w:rsidR="000F1FE4" w:rsidRDefault="009D69CD" w:rsidP="000F1FE4">
            <w:r>
              <w:t>Preparation sessions</w:t>
            </w:r>
          </w:p>
        </w:tc>
        <w:tc>
          <w:tcPr>
            <w:tcW w:w="5848" w:type="dxa"/>
          </w:tcPr>
          <w:p w14:paraId="21ADB17A" w14:textId="476A3C90" w:rsidR="000F1FE4" w:rsidRDefault="009D69CD" w:rsidP="000F1FE4">
            <w:r>
              <w:t>Having sessions dedicated to preparation was valued</w:t>
            </w:r>
          </w:p>
        </w:tc>
        <w:tc>
          <w:tcPr>
            <w:tcW w:w="1439" w:type="dxa"/>
          </w:tcPr>
          <w:p w14:paraId="1F7E5397" w14:textId="51A23714" w:rsidR="000F1FE4" w:rsidRDefault="009D69CD" w:rsidP="000F1FE4">
            <w:r>
              <w:t>X</w:t>
            </w:r>
          </w:p>
        </w:tc>
        <w:tc>
          <w:tcPr>
            <w:tcW w:w="1439" w:type="dxa"/>
          </w:tcPr>
          <w:p w14:paraId="4C597928" w14:textId="30D8A932" w:rsidR="000F1FE4" w:rsidRDefault="000F1FE4" w:rsidP="000F1FE4"/>
        </w:tc>
        <w:tc>
          <w:tcPr>
            <w:tcW w:w="1439" w:type="dxa"/>
          </w:tcPr>
          <w:p w14:paraId="1F89E14E" w14:textId="77777777" w:rsidR="000F1FE4" w:rsidRDefault="000F1FE4" w:rsidP="000F1FE4"/>
        </w:tc>
      </w:tr>
      <w:tr w:rsidR="00DA6930" w14:paraId="42CA9506" w14:textId="77777777" w:rsidTr="00446392">
        <w:tc>
          <w:tcPr>
            <w:tcW w:w="2785" w:type="dxa"/>
          </w:tcPr>
          <w:p w14:paraId="3B8D0CC6" w14:textId="3FC332F7" w:rsidR="00DA6930" w:rsidRDefault="00DA6930" w:rsidP="000F1FE4">
            <w:r>
              <w:t>Integration sessions</w:t>
            </w:r>
          </w:p>
        </w:tc>
        <w:tc>
          <w:tcPr>
            <w:tcW w:w="5848" w:type="dxa"/>
          </w:tcPr>
          <w:p w14:paraId="2D2FC8E5" w14:textId="43446509" w:rsidR="00DA6930" w:rsidRDefault="00DA6930" w:rsidP="000F1FE4">
            <w:r>
              <w:t>Having sessions dedicated to integration was valued</w:t>
            </w:r>
          </w:p>
        </w:tc>
        <w:tc>
          <w:tcPr>
            <w:tcW w:w="1439" w:type="dxa"/>
          </w:tcPr>
          <w:p w14:paraId="1D3ABF2D" w14:textId="31E4E1B6" w:rsidR="00DA6930" w:rsidRDefault="00DA6930" w:rsidP="000F1FE4">
            <w:r>
              <w:t>X</w:t>
            </w:r>
          </w:p>
        </w:tc>
        <w:tc>
          <w:tcPr>
            <w:tcW w:w="1439" w:type="dxa"/>
          </w:tcPr>
          <w:p w14:paraId="71C4EDD9" w14:textId="77777777" w:rsidR="00DA6930" w:rsidRDefault="00DA6930" w:rsidP="000F1FE4"/>
        </w:tc>
        <w:tc>
          <w:tcPr>
            <w:tcW w:w="1439" w:type="dxa"/>
          </w:tcPr>
          <w:p w14:paraId="2AE58922" w14:textId="77777777" w:rsidR="00DA6930" w:rsidRDefault="00DA6930" w:rsidP="000F1FE4"/>
        </w:tc>
      </w:tr>
      <w:tr w:rsidR="00DA6930" w14:paraId="0C01F540" w14:textId="77777777" w:rsidTr="00446392">
        <w:tc>
          <w:tcPr>
            <w:tcW w:w="2785" w:type="dxa"/>
          </w:tcPr>
          <w:p w14:paraId="74780A09" w14:textId="2631221F" w:rsidR="00DA6930" w:rsidRDefault="0012648A" w:rsidP="000F1FE4">
            <w:r>
              <w:lastRenderedPageBreak/>
              <w:t>Music</w:t>
            </w:r>
          </w:p>
        </w:tc>
        <w:tc>
          <w:tcPr>
            <w:tcW w:w="5848" w:type="dxa"/>
          </w:tcPr>
          <w:p w14:paraId="3C25EA2A" w14:textId="0765BB23" w:rsidR="00DA6930" w:rsidRDefault="0012648A" w:rsidP="000F1FE4">
            <w:r>
              <w:t>Music was deemed influential by patient participants, though perspectives on music differed. These ranged from strong appreciation for the music to dislike of the music, to appreciation for being able to listen to one’s own music with co-facilitators in close temporal proximity to the dosing session</w:t>
            </w:r>
            <w:r w:rsidR="005B2D4C">
              <w:t>.</w:t>
            </w:r>
          </w:p>
        </w:tc>
        <w:tc>
          <w:tcPr>
            <w:tcW w:w="1439" w:type="dxa"/>
          </w:tcPr>
          <w:p w14:paraId="15952082" w14:textId="35F5599A" w:rsidR="00DA6930" w:rsidRDefault="0012648A" w:rsidP="000F1FE4">
            <w:r>
              <w:t>X</w:t>
            </w:r>
          </w:p>
        </w:tc>
        <w:tc>
          <w:tcPr>
            <w:tcW w:w="1439" w:type="dxa"/>
          </w:tcPr>
          <w:p w14:paraId="150CC723" w14:textId="77777777" w:rsidR="00DA6930" w:rsidRDefault="00DA6930" w:rsidP="000F1FE4"/>
        </w:tc>
        <w:tc>
          <w:tcPr>
            <w:tcW w:w="1439" w:type="dxa"/>
          </w:tcPr>
          <w:p w14:paraId="26404E20" w14:textId="77777777" w:rsidR="00DA6930" w:rsidRDefault="00DA6930" w:rsidP="000F1FE4"/>
        </w:tc>
      </w:tr>
      <w:tr w:rsidR="00DA6930" w14:paraId="689E735D" w14:textId="77777777" w:rsidTr="00446392">
        <w:tc>
          <w:tcPr>
            <w:tcW w:w="2785" w:type="dxa"/>
          </w:tcPr>
          <w:p w14:paraId="056DFA0D" w14:textId="4C9033A9" w:rsidR="00DA6930" w:rsidRDefault="00656631" w:rsidP="000F1FE4">
            <w:r>
              <w:t>Non-directiveness in facilitation</w:t>
            </w:r>
          </w:p>
        </w:tc>
        <w:tc>
          <w:tcPr>
            <w:tcW w:w="5848" w:type="dxa"/>
          </w:tcPr>
          <w:p w14:paraId="671E768C" w14:textId="6F97749A" w:rsidR="00DA6930" w:rsidRDefault="00656631" w:rsidP="000F1FE4">
            <w:r>
              <w:t>The non-directive qualities of the therapy in facilitation were appreciated and seen as contributing to benefits in treatment</w:t>
            </w:r>
          </w:p>
        </w:tc>
        <w:tc>
          <w:tcPr>
            <w:tcW w:w="1439" w:type="dxa"/>
          </w:tcPr>
          <w:p w14:paraId="16B6D10C" w14:textId="20612365" w:rsidR="00DA6930" w:rsidRDefault="00656631" w:rsidP="000F1FE4">
            <w:r>
              <w:t>X</w:t>
            </w:r>
          </w:p>
        </w:tc>
        <w:tc>
          <w:tcPr>
            <w:tcW w:w="1439" w:type="dxa"/>
          </w:tcPr>
          <w:p w14:paraId="7E7E7A52" w14:textId="4A87AEAC" w:rsidR="00DA6930" w:rsidRDefault="00702B5F" w:rsidP="000F1FE4">
            <w:r>
              <w:t>X</w:t>
            </w:r>
          </w:p>
        </w:tc>
        <w:tc>
          <w:tcPr>
            <w:tcW w:w="1439" w:type="dxa"/>
          </w:tcPr>
          <w:p w14:paraId="55278822" w14:textId="77777777" w:rsidR="00DA6930" w:rsidRDefault="00DA6930" w:rsidP="000F1FE4"/>
        </w:tc>
      </w:tr>
      <w:tr w:rsidR="00DA6930" w14:paraId="184D2A0A" w14:textId="77777777" w:rsidTr="00446392">
        <w:tc>
          <w:tcPr>
            <w:tcW w:w="2785" w:type="dxa"/>
          </w:tcPr>
          <w:p w14:paraId="7F42DAED" w14:textId="51594C64" w:rsidR="00DA6930" w:rsidRDefault="00702B5F" w:rsidP="000F1FE4">
            <w:bookmarkStart w:id="10" w:name="_Hlk161563125"/>
            <w:r>
              <w:t>Too much structure</w:t>
            </w:r>
          </w:p>
        </w:tc>
        <w:tc>
          <w:tcPr>
            <w:tcW w:w="5848" w:type="dxa"/>
          </w:tcPr>
          <w:p w14:paraId="42D5A897" w14:textId="1594CA44" w:rsidR="00DA6930" w:rsidRDefault="00702B5F" w:rsidP="000F1FE4">
            <w:bookmarkStart w:id="11" w:name="_Hlk161563107"/>
            <w:r>
              <w:t>The amount of structure in the PAT was deemed excessive for carrying out the therapy as would have been preferred</w:t>
            </w:r>
            <w:bookmarkEnd w:id="11"/>
          </w:p>
        </w:tc>
        <w:tc>
          <w:tcPr>
            <w:tcW w:w="1439" w:type="dxa"/>
          </w:tcPr>
          <w:p w14:paraId="19B17150" w14:textId="5072004A" w:rsidR="00DA6930" w:rsidRDefault="00DA6930" w:rsidP="000F1FE4"/>
        </w:tc>
        <w:tc>
          <w:tcPr>
            <w:tcW w:w="1439" w:type="dxa"/>
          </w:tcPr>
          <w:p w14:paraId="4754D657" w14:textId="4081EF39" w:rsidR="00DA6930" w:rsidRDefault="00702B5F" w:rsidP="000F1FE4">
            <w:r>
              <w:t>X</w:t>
            </w:r>
          </w:p>
        </w:tc>
        <w:tc>
          <w:tcPr>
            <w:tcW w:w="1439" w:type="dxa"/>
          </w:tcPr>
          <w:p w14:paraId="1CAF9E00" w14:textId="77777777" w:rsidR="00DA6930" w:rsidRDefault="00DA6930" w:rsidP="000F1FE4"/>
        </w:tc>
      </w:tr>
      <w:bookmarkEnd w:id="10"/>
      <w:tr w:rsidR="00702B5F" w14:paraId="33161019" w14:textId="77777777" w:rsidTr="00446392">
        <w:tc>
          <w:tcPr>
            <w:tcW w:w="2785" w:type="dxa"/>
          </w:tcPr>
          <w:p w14:paraId="539FF12F" w14:textId="439E7B04" w:rsidR="00702B5F" w:rsidRDefault="00702B5F" w:rsidP="00702B5F">
            <w:r>
              <w:t>Not enough structure</w:t>
            </w:r>
          </w:p>
        </w:tc>
        <w:tc>
          <w:tcPr>
            <w:tcW w:w="5848" w:type="dxa"/>
          </w:tcPr>
          <w:p w14:paraId="39F4829F" w14:textId="6A205AAE" w:rsidR="00702B5F" w:rsidRDefault="00702B5F" w:rsidP="00702B5F">
            <w:r>
              <w:t>The amount of structure in the PAT was deemed inadequate for carrying out the therapy as would have been preferred</w:t>
            </w:r>
          </w:p>
        </w:tc>
        <w:tc>
          <w:tcPr>
            <w:tcW w:w="1439" w:type="dxa"/>
          </w:tcPr>
          <w:p w14:paraId="7443F2D6" w14:textId="77777777" w:rsidR="00702B5F" w:rsidRDefault="00702B5F" w:rsidP="00702B5F"/>
        </w:tc>
        <w:tc>
          <w:tcPr>
            <w:tcW w:w="1439" w:type="dxa"/>
          </w:tcPr>
          <w:p w14:paraId="6DC7FD37" w14:textId="7643B23B" w:rsidR="00702B5F" w:rsidRDefault="00702B5F" w:rsidP="00702B5F">
            <w:r>
              <w:t>X</w:t>
            </w:r>
          </w:p>
        </w:tc>
        <w:tc>
          <w:tcPr>
            <w:tcW w:w="1439" w:type="dxa"/>
          </w:tcPr>
          <w:p w14:paraId="2C4A2264" w14:textId="77777777" w:rsidR="00702B5F" w:rsidRDefault="00702B5F" w:rsidP="00702B5F"/>
        </w:tc>
      </w:tr>
      <w:tr w:rsidR="006D15D0" w14:paraId="585A9221" w14:textId="77777777" w:rsidTr="00446392">
        <w:tc>
          <w:tcPr>
            <w:tcW w:w="2785" w:type="dxa"/>
          </w:tcPr>
          <w:p w14:paraId="54C98E70" w14:textId="738CF789" w:rsidR="006D15D0" w:rsidRDefault="00143691" w:rsidP="00702B5F">
            <w:r>
              <w:t>Skillful use of touch</w:t>
            </w:r>
          </w:p>
        </w:tc>
        <w:tc>
          <w:tcPr>
            <w:tcW w:w="5848" w:type="dxa"/>
          </w:tcPr>
          <w:p w14:paraId="536A4B08" w14:textId="00ADB5F8" w:rsidR="006D15D0" w:rsidRDefault="00143691" w:rsidP="00702B5F">
            <w:r>
              <w:t>Appreciation for the presence of touch, which included hand-holding when needed and hugs when departing from dosing</w:t>
            </w:r>
          </w:p>
        </w:tc>
        <w:tc>
          <w:tcPr>
            <w:tcW w:w="1439" w:type="dxa"/>
          </w:tcPr>
          <w:p w14:paraId="2FCD64C6" w14:textId="232A8F10" w:rsidR="006D15D0" w:rsidRDefault="00143691" w:rsidP="00702B5F">
            <w:r>
              <w:t>X</w:t>
            </w:r>
          </w:p>
        </w:tc>
        <w:tc>
          <w:tcPr>
            <w:tcW w:w="1439" w:type="dxa"/>
          </w:tcPr>
          <w:p w14:paraId="759FC4DC" w14:textId="77777777" w:rsidR="006D15D0" w:rsidRDefault="006D15D0" w:rsidP="00702B5F"/>
        </w:tc>
        <w:tc>
          <w:tcPr>
            <w:tcW w:w="1439" w:type="dxa"/>
          </w:tcPr>
          <w:p w14:paraId="0D503053" w14:textId="77777777" w:rsidR="006D15D0" w:rsidRDefault="006D15D0" w:rsidP="00702B5F"/>
        </w:tc>
      </w:tr>
      <w:tr w:rsidR="006D15D0" w14:paraId="5EEFB246" w14:textId="77777777" w:rsidTr="00446392">
        <w:tc>
          <w:tcPr>
            <w:tcW w:w="2785" w:type="dxa"/>
          </w:tcPr>
          <w:p w14:paraId="45A43FE1" w14:textId="11B55864" w:rsidR="006D15D0" w:rsidRDefault="00BB2CF0" w:rsidP="00702B5F">
            <w:r>
              <w:t>Organization in PAT administration</w:t>
            </w:r>
          </w:p>
        </w:tc>
        <w:tc>
          <w:tcPr>
            <w:tcW w:w="5848" w:type="dxa"/>
          </w:tcPr>
          <w:p w14:paraId="49337627" w14:textId="232C8037" w:rsidR="006D15D0" w:rsidRDefault="00BB2CF0" w:rsidP="00702B5F">
            <w:r>
              <w:t>The experience of well-organized and responsive treatment administration was appreciated, while experiences of difficulty sustaining contact, inadequate contact, or miscommunications were frustrating</w:t>
            </w:r>
          </w:p>
        </w:tc>
        <w:tc>
          <w:tcPr>
            <w:tcW w:w="1439" w:type="dxa"/>
          </w:tcPr>
          <w:p w14:paraId="564880B8" w14:textId="7D3F71AE" w:rsidR="006D15D0" w:rsidRDefault="00BB2CF0" w:rsidP="00702B5F">
            <w:r>
              <w:t>X</w:t>
            </w:r>
          </w:p>
        </w:tc>
        <w:tc>
          <w:tcPr>
            <w:tcW w:w="1439" w:type="dxa"/>
          </w:tcPr>
          <w:p w14:paraId="367F08C8" w14:textId="77777777" w:rsidR="006D15D0" w:rsidRDefault="006D15D0" w:rsidP="00702B5F"/>
        </w:tc>
        <w:tc>
          <w:tcPr>
            <w:tcW w:w="1439" w:type="dxa"/>
          </w:tcPr>
          <w:p w14:paraId="4280B6C0" w14:textId="243BE7CB" w:rsidR="006D15D0" w:rsidRDefault="00DC26B8" w:rsidP="00702B5F">
            <w:r>
              <w:t>X</w:t>
            </w:r>
          </w:p>
        </w:tc>
      </w:tr>
      <w:bookmarkEnd w:id="8"/>
      <w:bookmarkEnd w:id="9"/>
    </w:tbl>
    <w:p w14:paraId="34D69E5A" w14:textId="77777777" w:rsidR="000F1FE4" w:rsidRDefault="000F1FE4"/>
    <w:p w14:paraId="3B1886F0" w14:textId="77777777" w:rsidR="00867F0F" w:rsidRDefault="00867F0F">
      <w:r>
        <w:br w:type="page"/>
      </w:r>
    </w:p>
    <w:p w14:paraId="13647B76" w14:textId="30334CDD" w:rsidR="000136CD" w:rsidRDefault="000136CD">
      <w:r>
        <w:lastRenderedPageBreak/>
        <w:t>Table 6. Wish list items</w:t>
      </w:r>
    </w:p>
    <w:tbl>
      <w:tblPr>
        <w:tblStyle w:val="TableGrid"/>
        <w:tblW w:w="0" w:type="auto"/>
        <w:tblLook w:val="04A0" w:firstRow="1" w:lastRow="0" w:firstColumn="1" w:lastColumn="0" w:noHBand="0" w:noVBand="1"/>
      </w:tblPr>
      <w:tblGrid>
        <w:gridCol w:w="2785"/>
        <w:gridCol w:w="5848"/>
        <w:gridCol w:w="1439"/>
        <w:gridCol w:w="1439"/>
        <w:gridCol w:w="1439"/>
      </w:tblGrid>
      <w:tr w:rsidR="00B74ADF" w14:paraId="3399E089" w14:textId="77777777" w:rsidTr="00446392">
        <w:tc>
          <w:tcPr>
            <w:tcW w:w="2785" w:type="dxa"/>
          </w:tcPr>
          <w:p w14:paraId="234B508A" w14:textId="77777777" w:rsidR="00B74ADF" w:rsidRDefault="00B74ADF" w:rsidP="00446392">
            <w:r>
              <w:t>Term</w:t>
            </w:r>
          </w:p>
        </w:tc>
        <w:tc>
          <w:tcPr>
            <w:tcW w:w="5848" w:type="dxa"/>
          </w:tcPr>
          <w:p w14:paraId="1B5D82FF" w14:textId="77777777" w:rsidR="00B74ADF" w:rsidRDefault="00B74ADF" w:rsidP="00446392">
            <w:r>
              <w:t>Definition</w:t>
            </w:r>
          </w:p>
        </w:tc>
        <w:tc>
          <w:tcPr>
            <w:tcW w:w="1439" w:type="dxa"/>
          </w:tcPr>
          <w:p w14:paraId="6D772156" w14:textId="77777777" w:rsidR="00B74ADF" w:rsidRDefault="00B74ADF" w:rsidP="00446392">
            <w:r>
              <w:t>Patients</w:t>
            </w:r>
          </w:p>
        </w:tc>
        <w:tc>
          <w:tcPr>
            <w:tcW w:w="1439" w:type="dxa"/>
          </w:tcPr>
          <w:p w14:paraId="0E46E2FF" w14:textId="77777777" w:rsidR="00B74ADF" w:rsidRDefault="00B74ADF" w:rsidP="00446392">
            <w:r>
              <w:t>Facilitators</w:t>
            </w:r>
          </w:p>
        </w:tc>
        <w:tc>
          <w:tcPr>
            <w:tcW w:w="1439" w:type="dxa"/>
          </w:tcPr>
          <w:p w14:paraId="507F02C3" w14:textId="77777777" w:rsidR="00B74ADF" w:rsidRDefault="00B74ADF" w:rsidP="00446392">
            <w:r>
              <w:t>Caregivers</w:t>
            </w:r>
          </w:p>
        </w:tc>
      </w:tr>
      <w:tr w:rsidR="00B74ADF" w14:paraId="13064E2C" w14:textId="77777777" w:rsidTr="00446392">
        <w:tc>
          <w:tcPr>
            <w:tcW w:w="2785" w:type="dxa"/>
          </w:tcPr>
          <w:p w14:paraId="3147BE9D" w14:textId="1BA756E2" w:rsidR="00B74ADF" w:rsidRDefault="00EE6155" w:rsidP="00B74ADF">
            <w:r>
              <w:t>Flexibility in dosing session duration</w:t>
            </w:r>
          </w:p>
        </w:tc>
        <w:tc>
          <w:tcPr>
            <w:tcW w:w="5848" w:type="dxa"/>
          </w:tcPr>
          <w:p w14:paraId="28685485" w14:textId="331527B3" w:rsidR="00B74ADF" w:rsidRDefault="00EE6155" w:rsidP="00B74ADF">
            <w:r>
              <w:t>Preference for the duration of the dosing session to depend on the participant’s preferences</w:t>
            </w:r>
          </w:p>
        </w:tc>
        <w:tc>
          <w:tcPr>
            <w:tcW w:w="1439" w:type="dxa"/>
          </w:tcPr>
          <w:p w14:paraId="457F30BB" w14:textId="4DA0C236" w:rsidR="00B74ADF" w:rsidRDefault="00EE6155" w:rsidP="00B74ADF">
            <w:r>
              <w:t>X</w:t>
            </w:r>
          </w:p>
        </w:tc>
        <w:tc>
          <w:tcPr>
            <w:tcW w:w="1439" w:type="dxa"/>
          </w:tcPr>
          <w:p w14:paraId="3B7D5B89" w14:textId="77777777" w:rsidR="00B74ADF" w:rsidRDefault="00B74ADF" w:rsidP="00B74ADF"/>
        </w:tc>
        <w:tc>
          <w:tcPr>
            <w:tcW w:w="1439" w:type="dxa"/>
          </w:tcPr>
          <w:p w14:paraId="532D7C4C" w14:textId="2B4776B2" w:rsidR="00B74ADF" w:rsidRDefault="00EE6155" w:rsidP="00B74ADF">
            <w:r>
              <w:t>X</w:t>
            </w:r>
          </w:p>
        </w:tc>
      </w:tr>
      <w:tr w:rsidR="00B74ADF" w14:paraId="39F7EE35" w14:textId="77777777" w:rsidTr="00446392">
        <w:tc>
          <w:tcPr>
            <w:tcW w:w="2785" w:type="dxa"/>
          </w:tcPr>
          <w:p w14:paraId="73F1AA4C" w14:textId="5BA38D3F" w:rsidR="00B74ADF" w:rsidRDefault="005F46D1" w:rsidP="00B74ADF">
            <w:r>
              <w:t>Non-medicalized dosing session</w:t>
            </w:r>
          </w:p>
        </w:tc>
        <w:tc>
          <w:tcPr>
            <w:tcW w:w="5848" w:type="dxa"/>
          </w:tcPr>
          <w:p w14:paraId="191F2E48" w14:textId="5BF7EB74" w:rsidR="00B74ADF" w:rsidRDefault="005F46D1" w:rsidP="00B74ADF">
            <w:r>
              <w:t>Preference for dosing sessions that did not feel medicalized, for having natural elements, windows, and less of a sense of medical observation</w:t>
            </w:r>
          </w:p>
        </w:tc>
        <w:tc>
          <w:tcPr>
            <w:tcW w:w="1439" w:type="dxa"/>
          </w:tcPr>
          <w:p w14:paraId="5C3F3F9E" w14:textId="5110AB3D" w:rsidR="00B74ADF" w:rsidRDefault="005F46D1" w:rsidP="00B74ADF">
            <w:r>
              <w:t>X</w:t>
            </w:r>
          </w:p>
        </w:tc>
        <w:tc>
          <w:tcPr>
            <w:tcW w:w="1439" w:type="dxa"/>
          </w:tcPr>
          <w:p w14:paraId="01788AD6" w14:textId="77777777" w:rsidR="00B74ADF" w:rsidRDefault="00B74ADF" w:rsidP="00B74ADF"/>
        </w:tc>
        <w:tc>
          <w:tcPr>
            <w:tcW w:w="1439" w:type="dxa"/>
          </w:tcPr>
          <w:p w14:paraId="0872DF94" w14:textId="078624CC" w:rsidR="00B74ADF" w:rsidRDefault="005F46D1" w:rsidP="00B74ADF">
            <w:r>
              <w:t>X</w:t>
            </w:r>
          </w:p>
        </w:tc>
      </w:tr>
      <w:tr w:rsidR="00B74ADF" w14:paraId="1FB870D1" w14:textId="77777777" w:rsidTr="00446392">
        <w:tc>
          <w:tcPr>
            <w:tcW w:w="2785" w:type="dxa"/>
          </w:tcPr>
          <w:p w14:paraId="777A4A7E" w14:textId="517AFEC1" w:rsidR="00B74ADF" w:rsidRDefault="005F46D1" w:rsidP="00B74ADF">
            <w:r>
              <w:t>Reduced assessment burden</w:t>
            </w:r>
          </w:p>
        </w:tc>
        <w:tc>
          <w:tcPr>
            <w:tcW w:w="5848" w:type="dxa"/>
          </w:tcPr>
          <w:p w14:paraId="2988C733" w14:textId="3C20BE05" w:rsidR="00B74ADF" w:rsidRDefault="005F46D1" w:rsidP="00B74ADF">
            <w:r>
              <w:t>Wish for fewer questionnaires and assessments, especially near to the dosing session</w:t>
            </w:r>
          </w:p>
        </w:tc>
        <w:tc>
          <w:tcPr>
            <w:tcW w:w="1439" w:type="dxa"/>
          </w:tcPr>
          <w:p w14:paraId="7F4EBA14" w14:textId="4F26A44D" w:rsidR="00B74ADF" w:rsidRDefault="005F46D1" w:rsidP="00B74ADF">
            <w:r>
              <w:t>X</w:t>
            </w:r>
          </w:p>
        </w:tc>
        <w:tc>
          <w:tcPr>
            <w:tcW w:w="1439" w:type="dxa"/>
          </w:tcPr>
          <w:p w14:paraId="0A458735" w14:textId="1879F9B0" w:rsidR="00B74ADF" w:rsidRDefault="005F46D1" w:rsidP="00B74ADF">
            <w:r>
              <w:t>X</w:t>
            </w:r>
          </w:p>
        </w:tc>
        <w:tc>
          <w:tcPr>
            <w:tcW w:w="1439" w:type="dxa"/>
          </w:tcPr>
          <w:p w14:paraId="2860AC23" w14:textId="73467083" w:rsidR="00B74ADF" w:rsidRDefault="00B74ADF" w:rsidP="00B74ADF"/>
        </w:tc>
      </w:tr>
      <w:tr w:rsidR="00B74ADF" w14:paraId="7C19DCDE" w14:textId="77777777" w:rsidTr="00446392">
        <w:tc>
          <w:tcPr>
            <w:tcW w:w="2785" w:type="dxa"/>
          </w:tcPr>
          <w:p w14:paraId="01CCBAF3" w14:textId="28289030" w:rsidR="00B74ADF" w:rsidRDefault="002B0BF2" w:rsidP="00B74ADF">
            <w:r>
              <w:t>Music selection</w:t>
            </w:r>
          </w:p>
        </w:tc>
        <w:tc>
          <w:tcPr>
            <w:tcW w:w="5848" w:type="dxa"/>
          </w:tcPr>
          <w:p w14:paraId="262CB886" w14:textId="0F9DD995" w:rsidR="00B74ADF" w:rsidRDefault="008E35C3" w:rsidP="00B74ADF">
            <w:r>
              <w:t>Patient’s</w:t>
            </w:r>
            <w:r w:rsidR="002B0BF2">
              <w:t xml:space="preserve"> desire to be able to choose the music for dosing</w:t>
            </w:r>
          </w:p>
        </w:tc>
        <w:tc>
          <w:tcPr>
            <w:tcW w:w="1439" w:type="dxa"/>
          </w:tcPr>
          <w:p w14:paraId="1CAFA1A9" w14:textId="0096611D" w:rsidR="00B74ADF" w:rsidRDefault="002B0BF2" w:rsidP="00B74ADF">
            <w:r>
              <w:t>X</w:t>
            </w:r>
          </w:p>
        </w:tc>
        <w:tc>
          <w:tcPr>
            <w:tcW w:w="1439" w:type="dxa"/>
          </w:tcPr>
          <w:p w14:paraId="18D9849F" w14:textId="0F28C037" w:rsidR="00B74ADF" w:rsidRDefault="00B74ADF" w:rsidP="00B74ADF"/>
        </w:tc>
        <w:tc>
          <w:tcPr>
            <w:tcW w:w="1439" w:type="dxa"/>
          </w:tcPr>
          <w:p w14:paraId="6BC19263" w14:textId="77777777" w:rsidR="00B74ADF" w:rsidRDefault="00B74ADF" w:rsidP="00B74ADF"/>
        </w:tc>
      </w:tr>
      <w:tr w:rsidR="00B74ADF" w14:paraId="3249EFED" w14:textId="77777777" w:rsidTr="00446392">
        <w:tc>
          <w:tcPr>
            <w:tcW w:w="2785" w:type="dxa"/>
          </w:tcPr>
          <w:p w14:paraId="073B2910" w14:textId="1F72DEA5" w:rsidR="00B74ADF" w:rsidRDefault="00DB7607" w:rsidP="00B74ADF">
            <w:r>
              <w:t>Plan for addressing physical discomfort</w:t>
            </w:r>
          </w:p>
        </w:tc>
        <w:tc>
          <w:tcPr>
            <w:tcW w:w="5848" w:type="dxa"/>
          </w:tcPr>
          <w:p w14:paraId="03A2FA65" w14:textId="732C9B7B" w:rsidR="00B74ADF" w:rsidRDefault="00DB7607" w:rsidP="00B74ADF">
            <w:r>
              <w:t>Desire for a plan, collaboratively developed ahead of time, for intervening on pain and physical discomfort, including the use of “rescue medication”</w:t>
            </w:r>
          </w:p>
        </w:tc>
        <w:tc>
          <w:tcPr>
            <w:tcW w:w="1439" w:type="dxa"/>
          </w:tcPr>
          <w:p w14:paraId="1E6CB548" w14:textId="1155A6E3" w:rsidR="00B74ADF" w:rsidRDefault="00DB7607" w:rsidP="00B74ADF">
            <w:r>
              <w:t>X</w:t>
            </w:r>
          </w:p>
        </w:tc>
        <w:tc>
          <w:tcPr>
            <w:tcW w:w="1439" w:type="dxa"/>
          </w:tcPr>
          <w:p w14:paraId="4B7354A9" w14:textId="1DF006D8" w:rsidR="00B74ADF" w:rsidRDefault="00DB7607" w:rsidP="00B74ADF">
            <w:r>
              <w:t>X</w:t>
            </w:r>
          </w:p>
        </w:tc>
        <w:tc>
          <w:tcPr>
            <w:tcW w:w="1439" w:type="dxa"/>
          </w:tcPr>
          <w:p w14:paraId="2283B881" w14:textId="77777777" w:rsidR="00B74ADF" w:rsidRDefault="00B74ADF" w:rsidP="00B74ADF"/>
        </w:tc>
      </w:tr>
      <w:tr w:rsidR="00B74ADF" w14:paraId="7D5FC0DE" w14:textId="77777777" w:rsidTr="00446392">
        <w:tc>
          <w:tcPr>
            <w:tcW w:w="2785" w:type="dxa"/>
          </w:tcPr>
          <w:p w14:paraId="59862060" w14:textId="6F764407" w:rsidR="00B74ADF" w:rsidRDefault="004576B1" w:rsidP="00B74ADF">
            <w:r>
              <w:t>Have rescue medications available for physical distress</w:t>
            </w:r>
          </w:p>
        </w:tc>
        <w:tc>
          <w:tcPr>
            <w:tcW w:w="5848" w:type="dxa"/>
          </w:tcPr>
          <w:p w14:paraId="0994F572" w14:textId="7E43A768" w:rsidR="00B74ADF" w:rsidRDefault="004576B1" w:rsidP="00B74ADF">
            <w:r>
              <w:t>Wish for there to be certain rescue medications, even if they have not previously been prescribed for patients, available in order to intervene on clinically significant physical distress</w:t>
            </w:r>
          </w:p>
        </w:tc>
        <w:tc>
          <w:tcPr>
            <w:tcW w:w="1439" w:type="dxa"/>
          </w:tcPr>
          <w:p w14:paraId="3298BF7A" w14:textId="429050EB" w:rsidR="00B74ADF" w:rsidRDefault="00B74ADF" w:rsidP="00B74ADF"/>
        </w:tc>
        <w:tc>
          <w:tcPr>
            <w:tcW w:w="1439" w:type="dxa"/>
          </w:tcPr>
          <w:p w14:paraId="28F6737A" w14:textId="6241081A" w:rsidR="00B74ADF" w:rsidRDefault="004576B1" w:rsidP="00B74ADF">
            <w:r>
              <w:t>X</w:t>
            </w:r>
          </w:p>
        </w:tc>
        <w:tc>
          <w:tcPr>
            <w:tcW w:w="1439" w:type="dxa"/>
          </w:tcPr>
          <w:p w14:paraId="11B8E617" w14:textId="77777777" w:rsidR="00B74ADF" w:rsidRDefault="00B74ADF" w:rsidP="00B74ADF"/>
        </w:tc>
      </w:tr>
      <w:tr w:rsidR="00B74ADF" w14:paraId="7E0F22CA" w14:textId="77777777" w:rsidTr="00446392">
        <w:tc>
          <w:tcPr>
            <w:tcW w:w="2785" w:type="dxa"/>
          </w:tcPr>
          <w:p w14:paraId="5D76ED8C" w14:textId="449E28B2" w:rsidR="00B74ADF" w:rsidRDefault="0041188F" w:rsidP="00B74ADF">
            <w:bookmarkStart w:id="12" w:name="_Hlk161564600"/>
            <w:r>
              <w:t>Psychoeducation</w:t>
            </w:r>
          </w:p>
        </w:tc>
        <w:tc>
          <w:tcPr>
            <w:tcW w:w="5848" w:type="dxa"/>
          </w:tcPr>
          <w:p w14:paraId="3683F917" w14:textId="1397829F" w:rsidR="00B74ADF" w:rsidRDefault="0041188F" w:rsidP="00B74ADF">
            <w:r>
              <w:t>Provide psychoeducation to patients and caregivers about aspects of the psilocybin effects that might interact with their medical condition in unanticipated ways, including physical discomfort to which patients may be medically vulnerable</w:t>
            </w:r>
          </w:p>
        </w:tc>
        <w:tc>
          <w:tcPr>
            <w:tcW w:w="1439" w:type="dxa"/>
          </w:tcPr>
          <w:p w14:paraId="7FF7AA0A" w14:textId="22321D17" w:rsidR="00B74ADF" w:rsidRDefault="0041188F" w:rsidP="00B74ADF">
            <w:r>
              <w:t>X</w:t>
            </w:r>
          </w:p>
        </w:tc>
        <w:tc>
          <w:tcPr>
            <w:tcW w:w="1439" w:type="dxa"/>
          </w:tcPr>
          <w:p w14:paraId="5B4334CC" w14:textId="77777777" w:rsidR="00B74ADF" w:rsidRDefault="00B74ADF" w:rsidP="00B74ADF"/>
        </w:tc>
        <w:tc>
          <w:tcPr>
            <w:tcW w:w="1439" w:type="dxa"/>
          </w:tcPr>
          <w:p w14:paraId="3C4D56FE" w14:textId="7792B0ED" w:rsidR="00B74ADF" w:rsidRDefault="0041188F" w:rsidP="00B74ADF">
            <w:r>
              <w:t>X</w:t>
            </w:r>
          </w:p>
        </w:tc>
      </w:tr>
      <w:tr w:rsidR="00B74ADF" w14:paraId="22D60F7B" w14:textId="77777777" w:rsidTr="00446392">
        <w:tc>
          <w:tcPr>
            <w:tcW w:w="2785" w:type="dxa"/>
          </w:tcPr>
          <w:p w14:paraId="25B69B64" w14:textId="768C6E47" w:rsidR="00B74ADF" w:rsidRDefault="00E35E95" w:rsidP="00B74ADF">
            <w:r>
              <w:t>Involve facilitator in enrollment to PAT</w:t>
            </w:r>
          </w:p>
        </w:tc>
        <w:tc>
          <w:tcPr>
            <w:tcW w:w="5848" w:type="dxa"/>
          </w:tcPr>
          <w:p w14:paraId="6974167B" w14:textId="30D2894E" w:rsidR="00B74ADF" w:rsidRDefault="00E35E95" w:rsidP="00B74ADF">
            <w:r>
              <w:t xml:space="preserve">Have a facilitator involved was a patient is enrolled into PAT in order to ascertain rapport, and fit </w:t>
            </w:r>
            <w:r w:rsidR="009E5BF2">
              <w:t>for the treatment.</w:t>
            </w:r>
          </w:p>
        </w:tc>
        <w:tc>
          <w:tcPr>
            <w:tcW w:w="1439" w:type="dxa"/>
          </w:tcPr>
          <w:p w14:paraId="258F4DA5" w14:textId="631C70FF" w:rsidR="00B74ADF" w:rsidRDefault="00B74ADF" w:rsidP="00B74ADF"/>
        </w:tc>
        <w:tc>
          <w:tcPr>
            <w:tcW w:w="1439" w:type="dxa"/>
          </w:tcPr>
          <w:p w14:paraId="05A26812" w14:textId="11BE7E30" w:rsidR="00B74ADF" w:rsidRDefault="00E35E95" w:rsidP="00B74ADF">
            <w:r>
              <w:t>X</w:t>
            </w:r>
          </w:p>
        </w:tc>
        <w:tc>
          <w:tcPr>
            <w:tcW w:w="1439" w:type="dxa"/>
          </w:tcPr>
          <w:p w14:paraId="427F25B3" w14:textId="77777777" w:rsidR="00B74ADF" w:rsidRDefault="00B74ADF" w:rsidP="00B74ADF"/>
        </w:tc>
      </w:tr>
      <w:tr w:rsidR="00B74ADF" w14:paraId="27C63545" w14:textId="77777777" w:rsidTr="00446392">
        <w:tc>
          <w:tcPr>
            <w:tcW w:w="2785" w:type="dxa"/>
          </w:tcPr>
          <w:p w14:paraId="091CB828" w14:textId="6B2805EB" w:rsidR="00B74ADF" w:rsidRDefault="009E5BF2" w:rsidP="00B74ADF">
            <w:r>
              <w:t>Consider amount of psychotherapy as a determinant of fit for patients</w:t>
            </w:r>
          </w:p>
        </w:tc>
        <w:tc>
          <w:tcPr>
            <w:tcW w:w="5848" w:type="dxa"/>
          </w:tcPr>
          <w:p w14:paraId="2DD17B2C" w14:textId="365C2B8F" w:rsidR="009E5BF2" w:rsidRPr="009E5BF2" w:rsidRDefault="009E5BF2" w:rsidP="009E5BF2">
            <w:r>
              <w:t>Based on the observation that the number of PAT psychotherapy sessions might be too much for some patients and not enough for others, consider the length of PAT as one of the determinants of fit based on appraisal of patient needs</w:t>
            </w:r>
          </w:p>
        </w:tc>
        <w:tc>
          <w:tcPr>
            <w:tcW w:w="1439" w:type="dxa"/>
          </w:tcPr>
          <w:p w14:paraId="586F1A01" w14:textId="08FFEA17" w:rsidR="00B74ADF" w:rsidRDefault="009E5BF2" w:rsidP="00B74ADF">
            <w:r>
              <w:t>X</w:t>
            </w:r>
          </w:p>
        </w:tc>
        <w:tc>
          <w:tcPr>
            <w:tcW w:w="1439" w:type="dxa"/>
          </w:tcPr>
          <w:p w14:paraId="39457C18" w14:textId="5CC41F5D" w:rsidR="00B74ADF" w:rsidRDefault="009E5BF2" w:rsidP="00B74ADF">
            <w:r>
              <w:t>X</w:t>
            </w:r>
          </w:p>
        </w:tc>
        <w:tc>
          <w:tcPr>
            <w:tcW w:w="1439" w:type="dxa"/>
          </w:tcPr>
          <w:p w14:paraId="39B6757E" w14:textId="77777777" w:rsidR="00B74ADF" w:rsidRDefault="00B74ADF" w:rsidP="00B74ADF"/>
        </w:tc>
      </w:tr>
      <w:bookmarkEnd w:id="12"/>
      <w:tr w:rsidR="00B74ADF" w14:paraId="0CA0AEB0" w14:textId="77777777" w:rsidTr="00446392">
        <w:tc>
          <w:tcPr>
            <w:tcW w:w="2785" w:type="dxa"/>
          </w:tcPr>
          <w:p w14:paraId="79F67161" w14:textId="5A9D1FDA" w:rsidR="00B74ADF" w:rsidRDefault="00D763E6" w:rsidP="00B74ADF">
            <w:r>
              <w:t>Tailor PAT to unique medical histories and experiences</w:t>
            </w:r>
          </w:p>
        </w:tc>
        <w:tc>
          <w:tcPr>
            <w:tcW w:w="5848" w:type="dxa"/>
          </w:tcPr>
          <w:p w14:paraId="7E6883DB" w14:textId="5462F99D" w:rsidR="00B74ADF" w:rsidRDefault="00D763E6" w:rsidP="00B74ADF">
            <w:r>
              <w:t>Use knowledge about medical experience, history, and expectations of patients to tailor PAT for responsiveness to these factors</w:t>
            </w:r>
          </w:p>
        </w:tc>
        <w:tc>
          <w:tcPr>
            <w:tcW w:w="1439" w:type="dxa"/>
          </w:tcPr>
          <w:p w14:paraId="0A975EE0" w14:textId="740EDC2A" w:rsidR="00B74ADF" w:rsidRDefault="00D763E6" w:rsidP="00B74ADF">
            <w:r>
              <w:t>X</w:t>
            </w:r>
          </w:p>
        </w:tc>
        <w:tc>
          <w:tcPr>
            <w:tcW w:w="1439" w:type="dxa"/>
          </w:tcPr>
          <w:p w14:paraId="6C1F63A8" w14:textId="7921392E" w:rsidR="00B74ADF" w:rsidRDefault="00D763E6" w:rsidP="00B74ADF">
            <w:r>
              <w:t>X</w:t>
            </w:r>
          </w:p>
        </w:tc>
        <w:tc>
          <w:tcPr>
            <w:tcW w:w="1439" w:type="dxa"/>
          </w:tcPr>
          <w:p w14:paraId="0B3F0B49" w14:textId="5E040BDC" w:rsidR="00B74ADF" w:rsidRDefault="00B74ADF" w:rsidP="00B74ADF"/>
        </w:tc>
      </w:tr>
      <w:tr w:rsidR="00B74ADF" w14:paraId="4F123B3E" w14:textId="77777777" w:rsidTr="00446392">
        <w:tc>
          <w:tcPr>
            <w:tcW w:w="2785" w:type="dxa"/>
          </w:tcPr>
          <w:p w14:paraId="0B5A4E23" w14:textId="4B501757" w:rsidR="00B74ADF" w:rsidRDefault="00B827BF" w:rsidP="00B74ADF">
            <w:r>
              <w:lastRenderedPageBreak/>
              <w:t>Solicit preference for facilitator gender</w:t>
            </w:r>
          </w:p>
        </w:tc>
        <w:tc>
          <w:tcPr>
            <w:tcW w:w="5848" w:type="dxa"/>
          </w:tcPr>
          <w:p w14:paraId="22745109" w14:textId="248F212F" w:rsidR="00B74ADF" w:rsidRDefault="00B827BF" w:rsidP="00B74ADF">
            <w:r>
              <w:t xml:space="preserve">It was deemed desirable to solicit preferences from participants about the gender of the facilitators they would be working with </w:t>
            </w:r>
          </w:p>
        </w:tc>
        <w:tc>
          <w:tcPr>
            <w:tcW w:w="1439" w:type="dxa"/>
          </w:tcPr>
          <w:p w14:paraId="63558236" w14:textId="21F8DE9E" w:rsidR="00B74ADF" w:rsidRDefault="00B827BF" w:rsidP="00B74ADF">
            <w:r>
              <w:t>X</w:t>
            </w:r>
          </w:p>
        </w:tc>
        <w:tc>
          <w:tcPr>
            <w:tcW w:w="1439" w:type="dxa"/>
          </w:tcPr>
          <w:p w14:paraId="62713771" w14:textId="6381255E" w:rsidR="00B74ADF" w:rsidRDefault="00B827BF" w:rsidP="00B74ADF">
            <w:r>
              <w:t>X</w:t>
            </w:r>
          </w:p>
        </w:tc>
        <w:tc>
          <w:tcPr>
            <w:tcW w:w="1439" w:type="dxa"/>
          </w:tcPr>
          <w:p w14:paraId="2C68E47C" w14:textId="77777777" w:rsidR="00B74ADF" w:rsidRDefault="00B74ADF" w:rsidP="00B74ADF"/>
        </w:tc>
      </w:tr>
      <w:tr w:rsidR="00B74ADF" w14:paraId="5D54D0DE" w14:textId="77777777" w:rsidTr="00446392">
        <w:tc>
          <w:tcPr>
            <w:tcW w:w="2785" w:type="dxa"/>
          </w:tcPr>
          <w:p w14:paraId="09779D55" w14:textId="2298D5A0" w:rsidR="00B74ADF" w:rsidRDefault="0064571C" w:rsidP="00B74ADF">
            <w:r>
              <w:t>Have diverse facilitators</w:t>
            </w:r>
          </w:p>
        </w:tc>
        <w:tc>
          <w:tcPr>
            <w:tcW w:w="5848" w:type="dxa"/>
          </w:tcPr>
          <w:p w14:paraId="4CDB7742" w14:textId="6E472C85" w:rsidR="00B74ADF" w:rsidRDefault="0064571C" w:rsidP="00B74ADF">
            <w:r>
              <w:t>Ensure diversity among facilitators regarding gender, sexual orientation, race, culture, and other relevant variables that can contribute to patient care</w:t>
            </w:r>
          </w:p>
        </w:tc>
        <w:tc>
          <w:tcPr>
            <w:tcW w:w="1439" w:type="dxa"/>
          </w:tcPr>
          <w:p w14:paraId="78F06F62" w14:textId="48691764" w:rsidR="00B74ADF" w:rsidRDefault="00B74ADF" w:rsidP="00B74ADF"/>
        </w:tc>
        <w:tc>
          <w:tcPr>
            <w:tcW w:w="1439" w:type="dxa"/>
          </w:tcPr>
          <w:p w14:paraId="3AEDECB3" w14:textId="34309FA4" w:rsidR="00B74ADF" w:rsidRDefault="001D594D" w:rsidP="00B74ADF">
            <w:r>
              <w:t>X</w:t>
            </w:r>
          </w:p>
        </w:tc>
        <w:tc>
          <w:tcPr>
            <w:tcW w:w="1439" w:type="dxa"/>
          </w:tcPr>
          <w:p w14:paraId="549E70A8" w14:textId="77777777" w:rsidR="00B74ADF" w:rsidRDefault="00B74ADF" w:rsidP="00B74ADF"/>
        </w:tc>
      </w:tr>
      <w:tr w:rsidR="00B74ADF" w14:paraId="16F2D362" w14:textId="77777777" w:rsidTr="00446392">
        <w:tc>
          <w:tcPr>
            <w:tcW w:w="2785" w:type="dxa"/>
          </w:tcPr>
          <w:p w14:paraId="19DDCDCF" w14:textId="30D3C6B2" w:rsidR="00B74ADF" w:rsidRDefault="00641F12" w:rsidP="00B74ADF">
            <w:r>
              <w:t>Continuity of care</w:t>
            </w:r>
          </w:p>
        </w:tc>
        <w:tc>
          <w:tcPr>
            <w:tcW w:w="5848" w:type="dxa"/>
          </w:tcPr>
          <w:p w14:paraId="6D2D4D05" w14:textId="66FE4469" w:rsidR="00B74ADF" w:rsidRDefault="00641F12" w:rsidP="00B74ADF">
            <w:r>
              <w:t>Provide continuing care beyond the limits of the integration sessions set out by the PAT, either with current facilitators or with others. However, patients expressed concern about establishing rapport and added burden related to establishing care with new providers.</w:t>
            </w:r>
          </w:p>
        </w:tc>
        <w:tc>
          <w:tcPr>
            <w:tcW w:w="1439" w:type="dxa"/>
          </w:tcPr>
          <w:p w14:paraId="7DF0BC50" w14:textId="439368C7" w:rsidR="00B74ADF" w:rsidRDefault="00641F12" w:rsidP="00B74ADF">
            <w:r>
              <w:t>X</w:t>
            </w:r>
          </w:p>
        </w:tc>
        <w:tc>
          <w:tcPr>
            <w:tcW w:w="1439" w:type="dxa"/>
          </w:tcPr>
          <w:p w14:paraId="177540E0" w14:textId="79AC5C1D" w:rsidR="00B74ADF" w:rsidRDefault="00B74ADF" w:rsidP="00B74ADF"/>
        </w:tc>
        <w:tc>
          <w:tcPr>
            <w:tcW w:w="1439" w:type="dxa"/>
          </w:tcPr>
          <w:p w14:paraId="084695F0" w14:textId="6456BCB8" w:rsidR="00B74ADF" w:rsidRDefault="00040DD9" w:rsidP="00B74ADF">
            <w:r>
              <w:t>X</w:t>
            </w:r>
          </w:p>
        </w:tc>
      </w:tr>
      <w:tr w:rsidR="00B74ADF" w14:paraId="7BAE5BD4" w14:textId="77777777" w:rsidTr="00446392">
        <w:tc>
          <w:tcPr>
            <w:tcW w:w="2785" w:type="dxa"/>
          </w:tcPr>
          <w:p w14:paraId="7CA41D1B" w14:textId="3CDFE918" w:rsidR="00B74ADF" w:rsidRDefault="00422CF8" w:rsidP="00B74ADF">
            <w:r>
              <w:t>Process with peers</w:t>
            </w:r>
          </w:p>
        </w:tc>
        <w:tc>
          <w:tcPr>
            <w:tcW w:w="5848" w:type="dxa"/>
          </w:tcPr>
          <w:p w14:paraId="3EFD9217" w14:textId="22ECE45B" w:rsidR="00B74ADF" w:rsidRDefault="00422CF8" w:rsidP="00B74ADF">
            <w:r>
              <w:t>Wish to be able to have a group of peers who have experienced PAT in order to have others to talk about the experience with who might share a frame of reference</w:t>
            </w:r>
          </w:p>
        </w:tc>
        <w:tc>
          <w:tcPr>
            <w:tcW w:w="1439" w:type="dxa"/>
          </w:tcPr>
          <w:p w14:paraId="20DA4ACF" w14:textId="75014030" w:rsidR="00B74ADF" w:rsidRDefault="00422CF8" w:rsidP="00B74ADF">
            <w:r>
              <w:t>X</w:t>
            </w:r>
          </w:p>
        </w:tc>
        <w:tc>
          <w:tcPr>
            <w:tcW w:w="1439" w:type="dxa"/>
          </w:tcPr>
          <w:p w14:paraId="7174A17E" w14:textId="1B450B92" w:rsidR="00B74ADF" w:rsidRDefault="00B74ADF" w:rsidP="00B74ADF"/>
        </w:tc>
        <w:tc>
          <w:tcPr>
            <w:tcW w:w="1439" w:type="dxa"/>
          </w:tcPr>
          <w:p w14:paraId="226444C1" w14:textId="4C085611" w:rsidR="00B74ADF" w:rsidRDefault="00422CF8" w:rsidP="00B74ADF">
            <w:r>
              <w:t>X</w:t>
            </w:r>
          </w:p>
        </w:tc>
      </w:tr>
      <w:tr w:rsidR="00B74ADF" w14:paraId="0B6DC343" w14:textId="77777777" w:rsidTr="00446392">
        <w:tc>
          <w:tcPr>
            <w:tcW w:w="2785" w:type="dxa"/>
          </w:tcPr>
          <w:p w14:paraId="6B05CB4D" w14:textId="1C8D7583" w:rsidR="00B74ADF" w:rsidRDefault="005F4610" w:rsidP="00B74ADF">
            <w:r>
              <w:t>Protection against dual relationships</w:t>
            </w:r>
          </w:p>
        </w:tc>
        <w:tc>
          <w:tcPr>
            <w:tcW w:w="5848" w:type="dxa"/>
          </w:tcPr>
          <w:p w14:paraId="58552967" w14:textId="4D35AFC6" w:rsidR="00B74ADF" w:rsidRDefault="005F4610" w:rsidP="00B74ADF">
            <w:r>
              <w:t>Ensuring transition from PAT facilitators to care in the community, such that facilitators could not take advantage of desire for further contact, or potential over-reliance on facilitators, by patients</w:t>
            </w:r>
          </w:p>
        </w:tc>
        <w:tc>
          <w:tcPr>
            <w:tcW w:w="1439" w:type="dxa"/>
          </w:tcPr>
          <w:p w14:paraId="56224BED" w14:textId="77777777" w:rsidR="00B74ADF" w:rsidRDefault="00B74ADF" w:rsidP="00B74ADF"/>
        </w:tc>
        <w:tc>
          <w:tcPr>
            <w:tcW w:w="1439" w:type="dxa"/>
          </w:tcPr>
          <w:p w14:paraId="7CC7B86F" w14:textId="68C92B20" w:rsidR="00B74ADF" w:rsidRDefault="005F4610" w:rsidP="00B74ADF">
            <w:r>
              <w:t>X</w:t>
            </w:r>
          </w:p>
        </w:tc>
        <w:tc>
          <w:tcPr>
            <w:tcW w:w="1439" w:type="dxa"/>
          </w:tcPr>
          <w:p w14:paraId="14FB6566" w14:textId="77777777" w:rsidR="00B74ADF" w:rsidRDefault="00B74ADF" w:rsidP="00B74ADF"/>
        </w:tc>
      </w:tr>
      <w:tr w:rsidR="00B74ADF" w14:paraId="5BB12751" w14:textId="77777777" w:rsidTr="00446392">
        <w:tc>
          <w:tcPr>
            <w:tcW w:w="2785" w:type="dxa"/>
          </w:tcPr>
          <w:p w14:paraId="0CE8A694" w14:textId="07792F9D" w:rsidR="00B74ADF" w:rsidRDefault="00CB0332" w:rsidP="00B74ADF">
            <w:r>
              <w:t>Desire for knowledge of longer follow-ups</w:t>
            </w:r>
          </w:p>
        </w:tc>
        <w:tc>
          <w:tcPr>
            <w:tcW w:w="5848" w:type="dxa"/>
          </w:tcPr>
          <w:p w14:paraId="544B28F2" w14:textId="6C208947" w:rsidR="00B74ADF" w:rsidRDefault="00CB0332" w:rsidP="00B74ADF">
            <w:r>
              <w:t>Desire for facilitators to learn how patients were doing at extended follow-ups after PAT</w:t>
            </w:r>
          </w:p>
        </w:tc>
        <w:tc>
          <w:tcPr>
            <w:tcW w:w="1439" w:type="dxa"/>
          </w:tcPr>
          <w:p w14:paraId="626EBA0F" w14:textId="77777777" w:rsidR="00B74ADF" w:rsidRDefault="00B74ADF" w:rsidP="00B74ADF"/>
        </w:tc>
        <w:tc>
          <w:tcPr>
            <w:tcW w:w="1439" w:type="dxa"/>
          </w:tcPr>
          <w:p w14:paraId="4CE4ABBD" w14:textId="5E3CC921" w:rsidR="00B74ADF" w:rsidRDefault="00CB0332" w:rsidP="00B74ADF">
            <w:r>
              <w:t>X</w:t>
            </w:r>
          </w:p>
        </w:tc>
        <w:tc>
          <w:tcPr>
            <w:tcW w:w="1439" w:type="dxa"/>
          </w:tcPr>
          <w:p w14:paraId="7B9D46C6" w14:textId="77777777" w:rsidR="00B74ADF" w:rsidRDefault="00B74ADF" w:rsidP="00B74ADF"/>
        </w:tc>
      </w:tr>
      <w:tr w:rsidR="00B74ADF" w14:paraId="17AE93A9" w14:textId="77777777" w:rsidTr="00446392">
        <w:tc>
          <w:tcPr>
            <w:tcW w:w="2785" w:type="dxa"/>
          </w:tcPr>
          <w:p w14:paraId="363E4557" w14:textId="0C65E2F1" w:rsidR="00B74ADF" w:rsidRDefault="00E30E46" w:rsidP="00B74ADF">
            <w:r>
              <w:t>Spiritual resources</w:t>
            </w:r>
          </w:p>
        </w:tc>
        <w:tc>
          <w:tcPr>
            <w:tcW w:w="5848" w:type="dxa"/>
          </w:tcPr>
          <w:p w14:paraId="0DF6D833" w14:textId="40F06FE8" w:rsidR="00B74ADF" w:rsidRDefault="00E30E46" w:rsidP="00B74ADF">
            <w:r>
              <w:t>Have religious and spiritual resources relevant to PAT and to participants’ frameworks and backgrounds available, especially for integration after PAT</w:t>
            </w:r>
          </w:p>
        </w:tc>
        <w:tc>
          <w:tcPr>
            <w:tcW w:w="1439" w:type="dxa"/>
          </w:tcPr>
          <w:p w14:paraId="51D0DBD7" w14:textId="6301E6B4" w:rsidR="00B74ADF" w:rsidRDefault="00E30E46" w:rsidP="00B74ADF">
            <w:r>
              <w:t>X</w:t>
            </w:r>
          </w:p>
        </w:tc>
        <w:tc>
          <w:tcPr>
            <w:tcW w:w="1439" w:type="dxa"/>
          </w:tcPr>
          <w:p w14:paraId="548EB39A" w14:textId="5AFC75E9" w:rsidR="00B74ADF" w:rsidRDefault="00E30E46" w:rsidP="00B74ADF">
            <w:r>
              <w:t>X</w:t>
            </w:r>
          </w:p>
        </w:tc>
        <w:tc>
          <w:tcPr>
            <w:tcW w:w="1439" w:type="dxa"/>
          </w:tcPr>
          <w:p w14:paraId="018CF563" w14:textId="77777777" w:rsidR="00B74ADF" w:rsidRDefault="00B74ADF" w:rsidP="00B74ADF"/>
        </w:tc>
      </w:tr>
      <w:tr w:rsidR="00E30E46" w14:paraId="7D917A21" w14:textId="77777777" w:rsidTr="00446392">
        <w:tc>
          <w:tcPr>
            <w:tcW w:w="2785" w:type="dxa"/>
          </w:tcPr>
          <w:p w14:paraId="02DBCDA9" w14:textId="1DC0698B" w:rsidR="00E30E46" w:rsidRDefault="00E30E46" w:rsidP="00B74ADF">
            <w:r>
              <w:t>Connection to spiritual or religious communities for processing after PAT</w:t>
            </w:r>
          </w:p>
        </w:tc>
        <w:tc>
          <w:tcPr>
            <w:tcW w:w="5848" w:type="dxa"/>
          </w:tcPr>
          <w:p w14:paraId="456D8D0F" w14:textId="01587242" w:rsidR="00E30E46" w:rsidRDefault="00E30E46" w:rsidP="00B74ADF">
            <w:r>
              <w:t>A desire to know about religious and spiritual communities from patients’ own backgrounds or traditions, which would provide non-stigmatizing ways of engaging with spirituality after PAT. This included patient experiences of having increased interest in spiritual matters, or preferences to integrate in a spiritual setting that was consistent with their own traditions.</w:t>
            </w:r>
          </w:p>
        </w:tc>
        <w:tc>
          <w:tcPr>
            <w:tcW w:w="1439" w:type="dxa"/>
          </w:tcPr>
          <w:p w14:paraId="16C948ED" w14:textId="3923F624" w:rsidR="00E30E46" w:rsidRDefault="00E30E46" w:rsidP="00B74ADF">
            <w:r>
              <w:t>X</w:t>
            </w:r>
          </w:p>
        </w:tc>
        <w:tc>
          <w:tcPr>
            <w:tcW w:w="1439" w:type="dxa"/>
          </w:tcPr>
          <w:p w14:paraId="42FF79B9" w14:textId="2644A7D7" w:rsidR="00E30E46" w:rsidRDefault="00E30E46" w:rsidP="00B74ADF"/>
        </w:tc>
        <w:tc>
          <w:tcPr>
            <w:tcW w:w="1439" w:type="dxa"/>
          </w:tcPr>
          <w:p w14:paraId="5DED8EF0" w14:textId="77777777" w:rsidR="00E30E46" w:rsidRDefault="00E30E46" w:rsidP="00B74ADF"/>
        </w:tc>
      </w:tr>
      <w:tr w:rsidR="00E30E46" w14:paraId="6B27187B" w14:textId="77777777" w:rsidTr="00446392">
        <w:tc>
          <w:tcPr>
            <w:tcW w:w="2785" w:type="dxa"/>
          </w:tcPr>
          <w:p w14:paraId="4DAB06AF" w14:textId="3BBF40C0" w:rsidR="00E30E46" w:rsidRDefault="000F1A06" w:rsidP="00B74ADF">
            <w:r>
              <w:t>Repeat dosing opportunities</w:t>
            </w:r>
          </w:p>
        </w:tc>
        <w:tc>
          <w:tcPr>
            <w:tcW w:w="5848" w:type="dxa"/>
          </w:tcPr>
          <w:p w14:paraId="352C4C47" w14:textId="7EA17E63" w:rsidR="00E30E46" w:rsidRDefault="000F1A06" w:rsidP="00B74ADF">
            <w:r>
              <w:t>Desire for opportunities to have more than one dosing experience, including the option of “test” experiences with lower doses to acquaint oneself with the subjective effects of psilocybin</w:t>
            </w:r>
          </w:p>
        </w:tc>
        <w:tc>
          <w:tcPr>
            <w:tcW w:w="1439" w:type="dxa"/>
          </w:tcPr>
          <w:p w14:paraId="7F771E6D" w14:textId="147A9607" w:rsidR="00E30E46" w:rsidRDefault="000F1A06" w:rsidP="00B74ADF">
            <w:r>
              <w:t>X</w:t>
            </w:r>
          </w:p>
        </w:tc>
        <w:tc>
          <w:tcPr>
            <w:tcW w:w="1439" w:type="dxa"/>
          </w:tcPr>
          <w:p w14:paraId="17D72540" w14:textId="77777777" w:rsidR="00E30E46" w:rsidRDefault="00E30E46" w:rsidP="00B74ADF"/>
        </w:tc>
        <w:tc>
          <w:tcPr>
            <w:tcW w:w="1439" w:type="dxa"/>
          </w:tcPr>
          <w:p w14:paraId="33BCC039" w14:textId="77777777" w:rsidR="00E30E46" w:rsidRDefault="00E30E46" w:rsidP="00B74ADF"/>
        </w:tc>
      </w:tr>
      <w:tr w:rsidR="00E30E46" w14:paraId="4DB291DF" w14:textId="77777777" w:rsidTr="00446392">
        <w:tc>
          <w:tcPr>
            <w:tcW w:w="2785" w:type="dxa"/>
          </w:tcPr>
          <w:p w14:paraId="1BA7586C" w14:textId="1B2837CD" w:rsidR="00E30E46" w:rsidRDefault="000C4A0B" w:rsidP="00B74ADF">
            <w:r>
              <w:lastRenderedPageBreak/>
              <w:t>More facilitator training</w:t>
            </w:r>
          </w:p>
        </w:tc>
        <w:tc>
          <w:tcPr>
            <w:tcW w:w="5848" w:type="dxa"/>
          </w:tcPr>
          <w:p w14:paraId="7DF7E32C" w14:textId="6BEE9CC9" w:rsidR="00E30E46" w:rsidRDefault="000C4A0B" w:rsidP="00B74ADF">
            <w:r>
              <w:t>Desire for more facilitator training included wishes for exposure to other protocols, reading lists, research on psilocybin, procedures for intervening when patients are physically distressed, and navigating cultural differences and care for patients from diverse racial backgrounds</w:t>
            </w:r>
          </w:p>
        </w:tc>
        <w:tc>
          <w:tcPr>
            <w:tcW w:w="1439" w:type="dxa"/>
          </w:tcPr>
          <w:p w14:paraId="29D31B2D" w14:textId="77777777" w:rsidR="00E30E46" w:rsidRDefault="00E30E46" w:rsidP="00B74ADF"/>
        </w:tc>
        <w:tc>
          <w:tcPr>
            <w:tcW w:w="1439" w:type="dxa"/>
          </w:tcPr>
          <w:p w14:paraId="22C6617F" w14:textId="3C01AF33" w:rsidR="00E30E46" w:rsidRDefault="000C4A0B" w:rsidP="00B74ADF">
            <w:r>
              <w:t>X</w:t>
            </w:r>
          </w:p>
        </w:tc>
        <w:tc>
          <w:tcPr>
            <w:tcW w:w="1439" w:type="dxa"/>
          </w:tcPr>
          <w:p w14:paraId="2F96F7F0" w14:textId="77777777" w:rsidR="00E30E46" w:rsidRDefault="00E30E46" w:rsidP="00B74ADF"/>
        </w:tc>
      </w:tr>
      <w:tr w:rsidR="00E30E46" w14:paraId="4AEE437A" w14:textId="77777777" w:rsidTr="00446392">
        <w:tc>
          <w:tcPr>
            <w:tcW w:w="2785" w:type="dxa"/>
          </w:tcPr>
          <w:p w14:paraId="27FDF0FB" w14:textId="5BCE0A27" w:rsidR="00E30E46" w:rsidRDefault="009B0C81" w:rsidP="00B74ADF">
            <w:r>
              <w:t>Information and resources</w:t>
            </w:r>
            <w:r w:rsidR="00CF6379">
              <w:t xml:space="preserve"> about PAT for caregivers</w:t>
            </w:r>
          </w:p>
        </w:tc>
        <w:tc>
          <w:tcPr>
            <w:tcW w:w="5848" w:type="dxa"/>
          </w:tcPr>
          <w:p w14:paraId="5412830E" w14:textId="27851241" w:rsidR="00E30E46" w:rsidRDefault="00CF6379" w:rsidP="00B74ADF">
            <w:r>
              <w:t>Provide caregivers with further resources about psilocybin that can meet a range of needs for information. Relatedly, potential mis-match between content of psychoeducation and caregiver understanding suggests a need to ensure that caregiver understanding is accurate</w:t>
            </w:r>
            <w:r w:rsidR="009B0C81">
              <w:t>.</w:t>
            </w:r>
          </w:p>
        </w:tc>
        <w:tc>
          <w:tcPr>
            <w:tcW w:w="1439" w:type="dxa"/>
          </w:tcPr>
          <w:p w14:paraId="653AA0ED" w14:textId="66EF6033" w:rsidR="00E30E46" w:rsidRDefault="00E30E46" w:rsidP="00B74ADF"/>
        </w:tc>
        <w:tc>
          <w:tcPr>
            <w:tcW w:w="1439" w:type="dxa"/>
          </w:tcPr>
          <w:p w14:paraId="153C9312" w14:textId="77777777" w:rsidR="00E30E46" w:rsidRDefault="00E30E46" w:rsidP="00B74ADF"/>
        </w:tc>
        <w:tc>
          <w:tcPr>
            <w:tcW w:w="1439" w:type="dxa"/>
          </w:tcPr>
          <w:p w14:paraId="4FE2CD64" w14:textId="084A69C2" w:rsidR="00E30E46" w:rsidRDefault="00CF6379" w:rsidP="00B74ADF">
            <w:r>
              <w:t>X</w:t>
            </w:r>
          </w:p>
        </w:tc>
      </w:tr>
      <w:tr w:rsidR="00CF6379" w14:paraId="4268E422" w14:textId="77777777" w:rsidTr="00446392">
        <w:tc>
          <w:tcPr>
            <w:tcW w:w="2785" w:type="dxa"/>
          </w:tcPr>
          <w:p w14:paraId="6C714C96" w14:textId="2970FD67" w:rsidR="00CF6379" w:rsidRDefault="009B0C81" w:rsidP="00B74ADF">
            <w:r>
              <w:t>Inform caregivers to treat patient dosing experiences with care</w:t>
            </w:r>
          </w:p>
        </w:tc>
        <w:tc>
          <w:tcPr>
            <w:tcW w:w="5848" w:type="dxa"/>
          </w:tcPr>
          <w:p w14:paraId="51940B4E" w14:textId="33EADD31" w:rsidR="00CF6379" w:rsidRDefault="009B0C81" w:rsidP="00B74ADF">
            <w:r>
              <w:t>Instruct caregivers to be gentle in discussing dosing experience, refrain from over-inquisitiveness, and respond t patients’ potential need for time to process the experience in whatever way they prefer</w:t>
            </w:r>
          </w:p>
        </w:tc>
        <w:tc>
          <w:tcPr>
            <w:tcW w:w="1439" w:type="dxa"/>
          </w:tcPr>
          <w:p w14:paraId="37829012" w14:textId="77777777" w:rsidR="00CF6379" w:rsidRDefault="00CF6379" w:rsidP="00B74ADF"/>
        </w:tc>
        <w:tc>
          <w:tcPr>
            <w:tcW w:w="1439" w:type="dxa"/>
          </w:tcPr>
          <w:p w14:paraId="26DDC920" w14:textId="77777777" w:rsidR="00CF6379" w:rsidRDefault="00CF6379" w:rsidP="00B74ADF"/>
        </w:tc>
        <w:tc>
          <w:tcPr>
            <w:tcW w:w="1439" w:type="dxa"/>
          </w:tcPr>
          <w:p w14:paraId="25798826" w14:textId="5434759E" w:rsidR="00CF6379" w:rsidRDefault="009B0C81" w:rsidP="00B74ADF">
            <w:r>
              <w:t>X</w:t>
            </w:r>
          </w:p>
        </w:tc>
      </w:tr>
      <w:tr w:rsidR="00CF6379" w14:paraId="35BA748B" w14:textId="77777777" w:rsidTr="00446392">
        <w:tc>
          <w:tcPr>
            <w:tcW w:w="2785" w:type="dxa"/>
          </w:tcPr>
          <w:p w14:paraId="78FA9A63" w14:textId="6B7FD9B7" w:rsidR="00CF6379" w:rsidRDefault="00F6723D" w:rsidP="00B74ADF">
            <w:r>
              <w:t>Greater engagement among multidisciplinary care team</w:t>
            </w:r>
          </w:p>
        </w:tc>
        <w:tc>
          <w:tcPr>
            <w:tcW w:w="5848" w:type="dxa"/>
          </w:tcPr>
          <w:p w14:paraId="4101BA28" w14:textId="26B63492" w:rsidR="00CF6379" w:rsidRDefault="00F6723D" w:rsidP="00B74ADF">
            <w:r>
              <w:t>Facilitator desire for more formal supervision, interdisciplinary care meetings to discuss ongoing PAT with patients, and exchange information about treatment approaches.</w:t>
            </w:r>
          </w:p>
        </w:tc>
        <w:tc>
          <w:tcPr>
            <w:tcW w:w="1439" w:type="dxa"/>
          </w:tcPr>
          <w:p w14:paraId="7A4F6379" w14:textId="77777777" w:rsidR="00CF6379" w:rsidRDefault="00CF6379" w:rsidP="00B74ADF"/>
        </w:tc>
        <w:tc>
          <w:tcPr>
            <w:tcW w:w="1439" w:type="dxa"/>
          </w:tcPr>
          <w:p w14:paraId="52A81C15" w14:textId="77777777" w:rsidR="00CF6379" w:rsidRDefault="00CF6379" w:rsidP="00B74ADF"/>
        </w:tc>
        <w:tc>
          <w:tcPr>
            <w:tcW w:w="1439" w:type="dxa"/>
          </w:tcPr>
          <w:p w14:paraId="164A26AD" w14:textId="77777777" w:rsidR="00CF6379" w:rsidRDefault="00CF6379" w:rsidP="00B74ADF"/>
        </w:tc>
      </w:tr>
    </w:tbl>
    <w:p w14:paraId="100BF992" w14:textId="77777777" w:rsidR="000136CD" w:rsidRDefault="000136CD"/>
    <w:p w14:paraId="362E649F" w14:textId="77777777" w:rsidR="00007737" w:rsidRDefault="00007737"/>
    <w:p w14:paraId="7FCA52FD" w14:textId="77777777" w:rsidR="003412E1" w:rsidRDefault="003412E1">
      <w:pPr>
        <w:rPr>
          <w:b/>
          <w:bCs/>
        </w:rPr>
        <w:sectPr w:rsidR="003412E1" w:rsidSect="00CE32AA">
          <w:pgSz w:w="15840" w:h="12240" w:orient="landscape"/>
          <w:pgMar w:top="1440" w:right="1440" w:bottom="1440" w:left="1440" w:header="720" w:footer="720" w:gutter="0"/>
          <w:cols w:space="720"/>
          <w:docGrid w:linePitch="360"/>
        </w:sectPr>
      </w:pPr>
    </w:p>
    <w:p w14:paraId="561CA99C" w14:textId="174285A6" w:rsidR="00BD4BA7" w:rsidRPr="00BD4BA7" w:rsidRDefault="00BD4BA7">
      <w:pPr>
        <w:rPr>
          <w:b/>
          <w:bCs/>
        </w:rPr>
      </w:pPr>
      <w:r>
        <w:rPr>
          <w:b/>
          <w:bCs/>
        </w:rPr>
        <w:lastRenderedPageBreak/>
        <w:t>Psychedelic-Assisted Therapy Approach</w:t>
      </w:r>
    </w:p>
    <w:p w14:paraId="3B58C802" w14:textId="2A2F0D8B" w:rsidR="0083770E" w:rsidRDefault="00BD4BA7" w:rsidP="00BD4BA7">
      <w:pPr>
        <w:pStyle w:val="NormalWeb"/>
        <w:shd w:val="clear" w:color="auto" w:fill="FFFFFF"/>
        <w:spacing w:before="0" w:beforeAutospacing="0" w:after="0" w:afterAutospacing="0"/>
        <w:rPr>
          <w:rFonts w:ascii="Aptos" w:hAnsi="Aptos"/>
          <w:color w:val="242424"/>
          <w:sz w:val="22"/>
          <w:szCs w:val="22"/>
          <w:shd w:val="clear" w:color="auto" w:fill="FFFFFF"/>
        </w:rPr>
      </w:pPr>
      <w:r>
        <w:rPr>
          <w:rFonts w:ascii="Aptos" w:hAnsi="Aptos"/>
          <w:color w:val="242424"/>
          <w:sz w:val="22"/>
          <w:szCs w:val="22"/>
          <w:shd w:val="clear" w:color="auto" w:fill="FFFFFF"/>
        </w:rPr>
        <w:t>The therapy used in the present study used a supportive, non-directive approach recommended for psychedelic therapy</w:t>
      </w:r>
      <w:r w:rsidR="00C028B2">
        <w:rPr>
          <w:rFonts w:ascii="Aptos" w:hAnsi="Aptos"/>
          <w:color w:val="242424"/>
          <w:sz w:val="22"/>
          <w:szCs w:val="22"/>
          <w:shd w:val="clear" w:color="auto" w:fill="FFFFFF"/>
        </w:rPr>
        <w:t xml:space="preserve"> </w:t>
      </w:r>
      <w:r w:rsidR="0072451A">
        <w:rPr>
          <w:rFonts w:ascii="Aptos" w:hAnsi="Aptos"/>
          <w:color w:val="242424"/>
          <w:sz w:val="22"/>
          <w:szCs w:val="22"/>
          <w:shd w:val="clear" w:color="auto" w:fill="FFFFFF"/>
        </w:rPr>
        <w:fldChar w:fldCharType="begin"/>
      </w:r>
      <w:r w:rsidR="0072451A">
        <w:rPr>
          <w:rFonts w:ascii="Aptos" w:hAnsi="Aptos"/>
          <w:color w:val="242424"/>
          <w:sz w:val="22"/>
          <w:szCs w:val="22"/>
          <w:shd w:val="clear" w:color="auto" w:fill="FFFFFF"/>
        </w:rPr>
        <w:instrText xml:space="preserve"> ADDIN ZOTERO_ITEM CSL_CITATION {"citationID":"RHhNwjyH","properties":{"formattedCitation":"(Johnson et al., 2008; Phelps, 2017)","plainCitation":"(Johnson et al., 2008; Phelps, 2017)","noteIndex":0},"citationItems":[{"id":12364,"uris":["http://zotero.org/users/143706/items/QPZQRVXG"],"itemData":{"id":12364,"type":"article-journal","abstract":"There has recently been a renewal of human research with classical hallucinogens (psychedelics). This paper first briefly discusses the unique history of human hallucinogen research, and then reviews the risks of hallucinogen administration and safeguards for minimizing these risks. Although hallucinogens are relatively safe physiologically and are not considered drugs of dependence, their administration involves unique psychological risks. The most likely risk is overwhelming distress during drug action ('bad trip'), which could lead to potentially dangerous behaviour such as leaving the study site. Less common are prolonged psychoses triggered by hallucinogens. Safeguards against these risks include the exclusion of volunteers with personal or family history of psychotic disorders or other severe psychiatric disorders, establishing trust and rapport between session monitors and volunteer before the session, careful volunteer preparation, a safe physical session environment and interpersonal support from at least two study monitors during the session. Investigators should probe for the relatively rare hallucinogen persisting perception disorder in follow-up contact. Persisting adverse reactions are rare when research is conducted along these guidelines. Incautious research may jeopardize participant safety and future research. However, carefully conducted research may inform the treatment of psychiatric disorders, and may lead to advances in basic science.","container-title":"Journal of Psychopharmacology (Oxford, England)","DOI":"10.1177/0269881108093587","ISSN":"0269-8811","issue":"6","journalAbbreviation":"J Psychopharmacol","language":"eng","note":"PMID: 18593734\nPMCID: PMC3056407","page":"603-620","source":"PubMed","title":"Human hallucinogen research: guidelines for safety","title-short":"Human hallucinogen research","volume":"22","author":[{"family":"Johnson","given":"Mw"},{"family":"Richards","given":"Wa"},{"family":"Griffiths","given":"Rr"}],"issued":{"date-parts":[["2008",8]]}}},{"id":12804,"uris":["http://zotero.org/users/143706/items/VT4SXVH9"],"itemData":{"id":12804,"type":"article-journal","abstract":"Research since the 1950s has shown that psychedelic-assisted psychotherapy has had significant positive effects in reductions of specific clinical symptoms and increases in quality of life as measured on a variety of indices. The intensity of focus on evidence-based outcomes, however, has resulted in a paucity of active discussions and research on the core competencies of the therapists themselves. The context of the history of psychedelic research reveals how this neglect of therapist variables occurred. With current discussions of Phase 3 and expanded access research programs for psilocybin-assisted and MDMA-assisted psychotherapies, there will be a great need for competent therapists trained in this clinical specialty. This is particularly the case if less restricted, legal medical use is approved within the next 6 to 10 years. This article is the first review and compilation of psychedelic therapist competencies derived from the psychedelic literature. These six therapist competencies are empathetic abiding presence; trust enhancement; spiritual intelligence; knowledge of the physical and psychological effects of psychedelics; therapist self-awareness and ethical integrity; and proficiency in complementary techniques. A further contribution of this review is a delineation of the 12 fundamental curricular domains of study for the training and development of these therapist competencies. As current legal restrictions evolve, aspects of these training guidelines will develop accordingly.","container-title":"Journal of Humanistic Psychology","DOI":"10.1177/0022167817711304","ISSN":"0022-1678","issue":"5","language":"en","note":"publisher: SAGE Publications Inc","page":"450-487","source":"SAGE Journals","title":"Developing Guidelines and Competencies for the Training of Psychedelic Therapists","volume":"57","author":[{"family":"Phelps","given":"Janis"}],"issued":{"date-parts":[["2017",9,1]]}}}],"schema":"https://github.com/citation-style-language/schema/raw/master/csl-citation.json"} </w:instrText>
      </w:r>
      <w:r w:rsidR="0072451A">
        <w:rPr>
          <w:rFonts w:ascii="Aptos" w:hAnsi="Aptos"/>
          <w:color w:val="242424"/>
          <w:sz w:val="22"/>
          <w:szCs w:val="22"/>
          <w:shd w:val="clear" w:color="auto" w:fill="FFFFFF"/>
        </w:rPr>
        <w:fldChar w:fldCharType="separate"/>
      </w:r>
      <w:r w:rsidR="0072451A" w:rsidRPr="0072451A">
        <w:rPr>
          <w:rFonts w:ascii="Aptos" w:hAnsi="Aptos"/>
          <w:sz w:val="22"/>
        </w:rPr>
        <w:t>(Johnson et al., 2008; Phelps, 2017)</w:t>
      </w:r>
      <w:r w:rsidR="0072451A">
        <w:rPr>
          <w:rFonts w:ascii="Aptos" w:hAnsi="Aptos"/>
          <w:color w:val="242424"/>
          <w:sz w:val="22"/>
          <w:szCs w:val="22"/>
          <w:shd w:val="clear" w:color="auto" w:fill="FFFFFF"/>
        </w:rPr>
        <w:fldChar w:fldCharType="end"/>
      </w:r>
      <w:r w:rsidR="0072451A">
        <w:rPr>
          <w:rFonts w:ascii="Aptos" w:hAnsi="Aptos"/>
          <w:color w:val="242424"/>
          <w:sz w:val="22"/>
          <w:szCs w:val="22"/>
          <w:shd w:val="clear" w:color="auto" w:fill="FFFFFF"/>
        </w:rPr>
        <w:t>, and formalized in the Usona Institute Manual for Clinical Facilitators</w:t>
      </w:r>
      <w:r w:rsidR="009866F5">
        <w:rPr>
          <w:rStyle w:val="FootnoteReference"/>
          <w:rFonts w:ascii="Aptos" w:hAnsi="Aptos"/>
          <w:color w:val="242424"/>
          <w:sz w:val="22"/>
          <w:szCs w:val="22"/>
          <w:shd w:val="clear" w:color="auto" w:fill="FFFFFF"/>
        </w:rPr>
        <w:footnoteReference w:id="1"/>
      </w:r>
      <w:r>
        <w:rPr>
          <w:rFonts w:ascii="Aptos" w:hAnsi="Aptos"/>
          <w:color w:val="242424"/>
          <w:sz w:val="22"/>
          <w:szCs w:val="22"/>
          <w:shd w:val="clear" w:color="auto" w:fill="FFFFFF"/>
        </w:rPr>
        <w:t xml:space="preserve">. </w:t>
      </w:r>
      <w:r w:rsidR="0072451A">
        <w:rPr>
          <w:rFonts w:ascii="Aptos" w:hAnsi="Aptos"/>
          <w:color w:val="242424"/>
          <w:sz w:val="22"/>
          <w:szCs w:val="22"/>
          <w:shd w:val="clear" w:color="auto" w:fill="FFFFFF"/>
        </w:rPr>
        <w:t>W</w:t>
      </w:r>
      <w:r>
        <w:rPr>
          <w:rFonts w:ascii="Aptos" w:hAnsi="Aptos"/>
          <w:color w:val="242424"/>
          <w:sz w:val="22"/>
          <w:szCs w:val="22"/>
          <w:shd w:val="clear" w:color="auto" w:fill="FFFFFF"/>
        </w:rPr>
        <w:t xml:space="preserve">e did not deviate from for </w:t>
      </w:r>
      <w:r w:rsidR="0072451A">
        <w:rPr>
          <w:rFonts w:ascii="Aptos" w:hAnsi="Aptos"/>
          <w:color w:val="242424"/>
          <w:sz w:val="22"/>
          <w:szCs w:val="22"/>
          <w:shd w:val="clear" w:color="auto" w:fill="FFFFFF"/>
        </w:rPr>
        <w:t>the Usona Manual, specifically, in the</w:t>
      </w:r>
      <w:r>
        <w:rPr>
          <w:rFonts w:ascii="Aptos" w:hAnsi="Aptos"/>
          <w:color w:val="242424"/>
          <w:sz w:val="22"/>
          <w:szCs w:val="22"/>
          <w:shd w:val="clear" w:color="auto" w:fill="FFFFFF"/>
        </w:rPr>
        <w:t xml:space="preserve"> dosing session. </w:t>
      </w:r>
    </w:p>
    <w:p w14:paraId="4F406697" w14:textId="77777777" w:rsidR="0083770E" w:rsidRDefault="0083770E" w:rsidP="00BD4BA7">
      <w:pPr>
        <w:pStyle w:val="NormalWeb"/>
        <w:shd w:val="clear" w:color="auto" w:fill="FFFFFF"/>
        <w:spacing w:before="0" w:beforeAutospacing="0" w:after="0" w:afterAutospacing="0"/>
        <w:rPr>
          <w:rFonts w:ascii="Aptos" w:hAnsi="Aptos"/>
          <w:color w:val="242424"/>
          <w:sz w:val="22"/>
          <w:szCs w:val="22"/>
          <w:shd w:val="clear" w:color="auto" w:fill="FFFFFF"/>
        </w:rPr>
      </w:pPr>
    </w:p>
    <w:p w14:paraId="3BDC8586" w14:textId="5618B852" w:rsidR="0083770E" w:rsidRDefault="0083770E" w:rsidP="00BD4BA7">
      <w:pPr>
        <w:pStyle w:val="NormalWeb"/>
        <w:shd w:val="clear" w:color="auto" w:fill="FFFFFF"/>
        <w:spacing w:before="0" w:beforeAutospacing="0" w:after="0" w:afterAutospacing="0"/>
        <w:rPr>
          <w:rFonts w:ascii="Aptos" w:hAnsi="Aptos"/>
          <w:i/>
          <w:iCs/>
          <w:color w:val="242424"/>
          <w:sz w:val="22"/>
          <w:szCs w:val="22"/>
          <w:shd w:val="clear" w:color="auto" w:fill="FFFFFF"/>
        </w:rPr>
      </w:pPr>
      <w:bookmarkStart w:id="14" w:name="_Hlk173397084"/>
      <w:r>
        <w:rPr>
          <w:rFonts w:ascii="Aptos" w:hAnsi="Aptos"/>
          <w:i/>
          <w:iCs/>
          <w:color w:val="242424"/>
          <w:sz w:val="22"/>
          <w:szCs w:val="22"/>
          <w:shd w:val="clear" w:color="auto" w:fill="FFFFFF"/>
        </w:rPr>
        <w:t>Triad Model</w:t>
      </w:r>
    </w:p>
    <w:p w14:paraId="1CE4C53B" w14:textId="77777777" w:rsidR="0083770E" w:rsidRPr="0083770E" w:rsidRDefault="0083770E" w:rsidP="00BD4BA7">
      <w:pPr>
        <w:pStyle w:val="NormalWeb"/>
        <w:shd w:val="clear" w:color="auto" w:fill="FFFFFF"/>
        <w:spacing w:before="0" w:beforeAutospacing="0" w:after="0" w:afterAutospacing="0"/>
        <w:rPr>
          <w:rFonts w:ascii="Aptos" w:hAnsi="Aptos"/>
          <w:i/>
          <w:iCs/>
          <w:color w:val="242424"/>
          <w:sz w:val="22"/>
          <w:szCs w:val="22"/>
          <w:shd w:val="clear" w:color="auto" w:fill="FFFFFF"/>
        </w:rPr>
      </w:pPr>
    </w:p>
    <w:p w14:paraId="32AB5268" w14:textId="1AEFECA9" w:rsidR="008F1EA2" w:rsidRDefault="00BD4BA7" w:rsidP="00BD4BA7">
      <w:pPr>
        <w:pStyle w:val="NormalWeb"/>
        <w:shd w:val="clear" w:color="auto" w:fill="FFFFFF"/>
        <w:spacing w:before="0" w:beforeAutospacing="0" w:after="0" w:afterAutospacing="0"/>
        <w:rPr>
          <w:rFonts w:ascii="Aptos" w:hAnsi="Aptos"/>
          <w:color w:val="242424"/>
          <w:sz w:val="22"/>
          <w:szCs w:val="22"/>
          <w:shd w:val="clear" w:color="auto" w:fill="FFFFFF"/>
        </w:rPr>
      </w:pPr>
      <w:r>
        <w:rPr>
          <w:rFonts w:ascii="Aptos" w:hAnsi="Aptos"/>
          <w:color w:val="242424"/>
          <w:sz w:val="22"/>
          <w:szCs w:val="22"/>
          <w:shd w:val="clear" w:color="auto" w:fill="FFFFFF"/>
        </w:rPr>
        <w:t xml:space="preserve">The overall protocol was modified to include a mental health clinician and spiritual health clinician dyad (as opposed to standard models, which typically include two mental health clinicians). Spiritual experiences are commonly reported in PAT (Palitsky et al. 2023) and associated with improved treatment outcomes (Ko et al., 2022), and therapies incorporating spirituality in non-psychedelic formats have a strong empirical basis (Bouwhuis-Van Keulen et al., 2024). As such, we modified standard supportive, non-directive psychedelic therapeutic model to include a “triad model” of care, emphasizing the patient, mental health clinician, and spiritual health clinician as vital members of the care team and therapeutic process, with the two clinicians using a collaborative approach to model trust, connection, and openness to the participant, and using a pluralistic, non imposing, respectful approach that prioritized patient autonomy and empowerment that explored patient beliefs and worldviews (as it is important to note that all individuals have beliefs and worldviews, whether they include religion and spirituality or not). Both clinicians were present for all preparation sessions, the entire dosing day, and all integration sessions. </w:t>
      </w:r>
      <w:r w:rsidR="0083770E">
        <w:rPr>
          <w:rFonts w:ascii="Aptos" w:hAnsi="Aptos"/>
          <w:color w:val="242424"/>
          <w:sz w:val="22"/>
          <w:szCs w:val="22"/>
          <w:shd w:val="clear" w:color="auto" w:fill="FFFFFF"/>
        </w:rPr>
        <w:t xml:space="preserve">Spiritual health clinicians are trained to support patients of any or no religious affiliation, and in many respects have more extensive training on spiritually competent care and non-imposition than those with solely mental health training (Peacock et al., 2024), have been demonstrated to be effective at providing care in secular and pluralistic contexts </w:t>
      </w:r>
      <w:r w:rsidR="009F3A9F">
        <w:rPr>
          <w:rFonts w:ascii="Aptos" w:hAnsi="Aptos"/>
          <w:color w:val="242424"/>
          <w:sz w:val="22"/>
          <w:szCs w:val="22"/>
          <w:shd w:val="clear" w:color="auto" w:fill="FFFFFF"/>
        </w:rPr>
        <w:fldChar w:fldCharType="begin"/>
      </w:r>
      <w:r w:rsidR="009F3A9F">
        <w:rPr>
          <w:rFonts w:ascii="Aptos" w:hAnsi="Aptos"/>
          <w:color w:val="242424"/>
          <w:sz w:val="22"/>
          <w:szCs w:val="22"/>
          <w:shd w:val="clear" w:color="auto" w:fill="FFFFFF"/>
        </w:rPr>
        <w:instrText xml:space="preserve"> ADDIN ZOTERO_ITEM CSL_CITATION {"citationID":"Hb9HPmqp","properties":{"formattedCitation":"(Buelens et al., 2024)","plainCitation":"(Buelens et al., 2024)","noteIndex":0},"citationItems":[{"id":12805,"uris":["http://zotero.org/users/143706/items/HFCLXBV7"],"itemData":{"id":12805,"type":"article-journal","abstract":"Research on the effects of chaplaincy care is scarce and hampered by methodological limitations. Our quasi-experimental study (n = 256 at baseline) aimed to gain insight into the immediate and intermediate impact of chaplaincy care on inpatients’ existential anxiety, peace, anxiety and depressive symptoms. Multilevel modeling was used to analyze the data. After controlling for age, gender, education, (non)religion/(non)belief and religiosity, participants receiving chaplaincy care demonstrated greater immediate improvement in peace compared to the control group at posttest. This was not found for anxiety, depressive symptoms or existential anxiety, nor for any of the outcomes at the three-week follow-up assessment.","container-title":"Journal of Spirituality in Mental Health","DOI":"10.1080/19349637.2023.2177239","ISSN":"1934-9637","issue":"2","note":"publisher: Routledge\n_eprint: https://doi.org/10.1080/19349637.2023.2177239","page":"141-164","source":"Taylor and Francis+NEJM","title":"The outcomes of healthcare chaplaincy on hospitalized patients. A quasi-experimental study in Belgium","volume":"26","author":[{"family":"Buelens","given":"Eva"},{"family":"Dewitte","given":"Laura"},{"family":"Dezutter","given":"Jessie"},{"family":"Vandenhoeck","given":"Anna"},{"family":"Dillen","given":"Annemie"}],"issued":{"date-parts":[["2024",4,2]]}}}],"schema":"https://github.com/citation-style-language/schema/raw/master/csl-citation.json"} </w:instrText>
      </w:r>
      <w:r w:rsidR="009F3A9F">
        <w:rPr>
          <w:rFonts w:ascii="Aptos" w:hAnsi="Aptos"/>
          <w:color w:val="242424"/>
          <w:sz w:val="22"/>
          <w:szCs w:val="22"/>
          <w:shd w:val="clear" w:color="auto" w:fill="FFFFFF"/>
        </w:rPr>
        <w:fldChar w:fldCharType="separate"/>
      </w:r>
      <w:r w:rsidR="009F3A9F" w:rsidRPr="009F3A9F">
        <w:rPr>
          <w:rFonts w:ascii="Aptos" w:hAnsi="Aptos"/>
          <w:sz w:val="22"/>
        </w:rPr>
        <w:t>(Buelens et al., 2024)</w:t>
      </w:r>
      <w:r w:rsidR="009F3A9F">
        <w:rPr>
          <w:rFonts w:ascii="Aptos" w:hAnsi="Aptos"/>
          <w:color w:val="242424"/>
          <w:sz w:val="22"/>
          <w:szCs w:val="22"/>
          <w:shd w:val="clear" w:color="auto" w:fill="FFFFFF"/>
        </w:rPr>
        <w:fldChar w:fldCharType="end"/>
      </w:r>
      <w:r w:rsidR="0083770E">
        <w:rPr>
          <w:rFonts w:ascii="Aptos" w:hAnsi="Aptos"/>
          <w:color w:val="242424"/>
          <w:sz w:val="22"/>
          <w:szCs w:val="22"/>
          <w:shd w:val="clear" w:color="auto" w:fill="FFFFFF"/>
        </w:rPr>
        <w:t xml:space="preserve">, and have been recommended as clinicians for psychedelic therapies as well for this reason (Palitsky et al. 2023). </w:t>
      </w:r>
      <w:r w:rsidR="008F1EA2">
        <w:rPr>
          <w:rFonts w:ascii="Aptos" w:hAnsi="Aptos"/>
          <w:color w:val="242424"/>
          <w:sz w:val="22"/>
          <w:szCs w:val="22"/>
          <w:shd w:val="clear" w:color="auto" w:fill="FFFFFF"/>
        </w:rPr>
        <w:t xml:space="preserve">Thus, spiritual health clinicians were part of the care team for all patients, regardless of religious affiliation. </w:t>
      </w:r>
    </w:p>
    <w:p w14:paraId="20258D3F" w14:textId="77777777" w:rsidR="008F1EA2" w:rsidRDefault="008F1EA2" w:rsidP="00BD4BA7">
      <w:pPr>
        <w:pStyle w:val="NormalWeb"/>
        <w:shd w:val="clear" w:color="auto" w:fill="FFFFFF"/>
        <w:spacing w:before="0" w:beforeAutospacing="0" w:after="0" w:afterAutospacing="0"/>
        <w:rPr>
          <w:rFonts w:ascii="Aptos" w:hAnsi="Aptos"/>
          <w:color w:val="242424"/>
          <w:sz w:val="22"/>
          <w:szCs w:val="22"/>
          <w:shd w:val="clear" w:color="auto" w:fill="FFFFFF"/>
        </w:rPr>
      </w:pPr>
    </w:p>
    <w:p w14:paraId="2ED6FF2A" w14:textId="71854143" w:rsidR="00BD4BA7" w:rsidRDefault="00BD4BA7" w:rsidP="00BD4BA7">
      <w:pPr>
        <w:pStyle w:val="NormalWeb"/>
        <w:shd w:val="clear" w:color="auto" w:fill="FFFFFF"/>
        <w:spacing w:before="0" w:beforeAutospacing="0" w:after="0" w:afterAutospacing="0"/>
        <w:rPr>
          <w:rFonts w:ascii="Segoe UI" w:hAnsi="Segoe UI" w:cs="Segoe UI"/>
          <w:color w:val="242424"/>
          <w:sz w:val="23"/>
          <w:szCs w:val="23"/>
        </w:rPr>
      </w:pPr>
      <w:r>
        <w:rPr>
          <w:rFonts w:ascii="Aptos" w:hAnsi="Aptos"/>
          <w:color w:val="242424"/>
          <w:sz w:val="22"/>
          <w:szCs w:val="22"/>
          <w:shd w:val="clear" w:color="auto" w:fill="FFFFFF"/>
        </w:rPr>
        <w:t>Main goals of preparation sessions included facilitating therapeutic alliance and trust, practicing engaging in a non-judgmental attitude towards their internal experience, reviewing patient history and symptoms (including medical and mental health history as well as any SERT relevant, cultural factors, or belief systems), providing psychoeducation on the psilocybin session, exploring intentions, and practicing support strategies. During the psilocybin session, both clinicians provided a supportive presence and encouraged participant to engage with their internal experience in a nonjudgmental manner and provided specific support strategies when requested. During the integration sessions, both clinicians helped patients explore their psilocybin experience and engage in meaning making in a way that allowed the participant to interpret and understand their experience, with support from both clinicians, as well as discussing integration practices, or how to apply their insights or meaning to their daily life.</w:t>
      </w:r>
    </w:p>
    <w:bookmarkEnd w:id="14"/>
    <w:p w14:paraId="364D5DB1" w14:textId="77777777" w:rsidR="00BD4BA7" w:rsidRDefault="00BD4BA7"/>
    <w:p w14:paraId="3041A637" w14:textId="3FE3C997" w:rsidR="00AD5916" w:rsidRPr="00AD5916" w:rsidRDefault="00AD5916" w:rsidP="00AD5916">
      <w:pPr>
        <w:spacing w:line="240" w:lineRule="auto"/>
        <w:jc w:val="center"/>
        <w:rPr>
          <w:rFonts w:ascii="Times New Roman" w:eastAsia="Times New Roman" w:hAnsi="Times New Roman" w:cs="Times New Roman"/>
          <w:kern w:val="0"/>
          <w:sz w:val="24"/>
          <w:szCs w:val="24"/>
          <w14:ligatures w14:val="none"/>
        </w:rPr>
      </w:pPr>
      <w:bookmarkStart w:id="15" w:name="_Hlk173409423"/>
      <w:r w:rsidRPr="00AD5916">
        <w:rPr>
          <w:rFonts w:ascii="Times New Roman" w:eastAsia="Times New Roman" w:hAnsi="Times New Roman" w:cs="Times New Roman"/>
          <w:b/>
          <w:bCs/>
          <w:color w:val="000000"/>
          <w:kern w:val="0"/>
          <w:sz w:val="24"/>
          <w:szCs w:val="24"/>
          <w14:ligatures w14:val="none"/>
        </w:rPr>
        <w:lastRenderedPageBreak/>
        <w:t>Author Positionality Statement</w:t>
      </w:r>
    </w:p>
    <w:p w14:paraId="61925363" w14:textId="77777777" w:rsidR="00AD5916" w:rsidRPr="00AD5916" w:rsidRDefault="00AD5916" w:rsidP="00AD5916">
      <w:pPr>
        <w:spacing w:line="240" w:lineRule="auto"/>
        <w:rPr>
          <w:rFonts w:ascii="Times New Roman" w:eastAsia="Times New Roman" w:hAnsi="Times New Roman" w:cs="Times New Roman"/>
          <w:kern w:val="0"/>
          <w:sz w:val="24"/>
          <w:szCs w:val="24"/>
          <w14:ligatures w14:val="none"/>
        </w:rPr>
      </w:pPr>
      <w:r w:rsidRPr="00AD5916">
        <w:rPr>
          <w:rFonts w:ascii="Times New Roman" w:eastAsia="Times New Roman" w:hAnsi="Times New Roman" w:cs="Times New Roman"/>
          <w:color w:val="000000"/>
          <w:kern w:val="0"/>
          <w:sz w:val="24"/>
          <w:szCs w:val="24"/>
          <w14:ligatures w14:val="none"/>
        </w:rPr>
        <w:t>Following recent published guidelines for positionality statements (Curran and Randall, 2021; Roberts et al., 2020), the authors wish to acknowledge aspects of our backgrounds and identities that are relevant to the reported work. First, we address our training backgrounds. Authors of this manuscript include clinical psychologists, psychiatrists, palliative care physicians, licensed clinical social workers, spiritual health clinicians, and trainees working under the supervision of these professionals. The work reported here is therefore heavily informed by acknowledged best practices and published guidelines of the American Psychological Association, the American Medical Association, the National Association of Social Workers, and the Association for Clinical Pastoral Education. The field of psychedelic research includes (and benefits greatly from) persons with training backgrounds and corresponding professional guidelines other than those represented by our author group. Qualitative analyses undertaken by professionals with alternate training backgrounds may have yielded different results than those reported here.</w:t>
      </w:r>
    </w:p>
    <w:p w14:paraId="4595DAC6" w14:textId="6FB2A11C" w:rsidR="00AD5916" w:rsidRPr="00AD5916" w:rsidRDefault="00AD5916" w:rsidP="00AD5916">
      <w:pPr>
        <w:spacing w:line="240" w:lineRule="auto"/>
        <w:rPr>
          <w:rFonts w:ascii="Times New Roman" w:eastAsia="Times New Roman" w:hAnsi="Times New Roman" w:cs="Times New Roman"/>
          <w:kern w:val="0"/>
          <w:sz w:val="24"/>
          <w:szCs w:val="24"/>
          <w14:ligatures w14:val="none"/>
        </w:rPr>
      </w:pPr>
      <w:r w:rsidRPr="00AD5916">
        <w:rPr>
          <w:rFonts w:ascii="Times New Roman" w:eastAsia="Times New Roman" w:hAnsi="Times New Roman" w:cs="Times New Roman"/>
          <w:color w:val="000000"/>
          <w:kern w:val="0"/>
          <w:sz w:val="24"/>
          <w:szCs w:val="24"/>
          <w14:ligatures w14:val="none"/>
        </w:rPr>
        <w:t xml:space="preserve">Second, we address professional experiences of authors that are relevant to this study. All authors of this article have worked on IRB-approved research studies involving a psychedelic </w:t>
      </w:r>
      <w:r>
        <w:rPr>
          <w:rFonts w:ascii="Times New Roman" w:eastAsia="Times New Roman" w:hAnsi="Times New Roman" w:cs="Times New Roman"/>
          <w:color w:val="000000"/>
          <w:kern w:val="0"/>
          <w:sz w:val="24"/>
          <w:szCs w:val="24"/>
          <w14:ligatures w14:val="none"/>
        </w:rPr>
        <w:t>compound</w:t>
      </w:r>
      <w:r w:rsidRPr="00AD5916">
        <w:rPr>
          <w:rFonts w:ascii="Times New Roman" w:eastAsia="Times New Roman" w:hAnsi="Times New Roman" w:cs="Times New Roman"/>
          <w:color w:val="000000"/>
          <w:kern w:val="0"/>
          <w:sz w:val="24"/>
          <w:szCs w:val="24"/>
          <w14:ligatures w14:val="none"/>
        </w:rPr>
        <w:t xml:space="preserve"> (including psilocybin and MDMA) in at least one of the following capacities: principal investigator, co-investigator, project manager, interventionist/facilitator, or research assistant involved in data analysis and interpretation. Most authors have contributed to at least one research study involving a psychedelic </w:t>
      </w:r>
      <w:r w:rsidR="007A16FD">
        <w:rPr>
          <w:rFonts w:ascii="Times New Roman" w:eastAsia="Times New Roman" w:hAnsi="Times New Roman" w:cs="Times New Roman"/>
          <w:color w:val="000000"/>
          <w:kern w:val="0"/>
          <w:sz w:val="24"/>
          <w:szCs w:val="24"/>
          <w14:ligatures w14:val="none"/>
        </w:rPr>
        <w:t>compound</w:t>
      </w:r>
      <w:r w:rsidRPr="00AD5916">
        <w:rPr>
          <w:rFonts w:ascii="Times New Roman" w:eastAsia="Times New Roman" w:hAnsi="Times New Roman" w:cs="Times New Roman"/>
          <w:color w:val="000000"/>
          <w:kern w:val="0"/>
          <w:sz w:val="24"/>
          <w:szCs w:val="24"/>
          <w14:ligatures w14:val="none"/>
        </w:rPr>
        <w:t xml:space="preserve"> other than the study reported here. Several authors hold a current professional role as the director of a clinic or hospital-based health service. The lens of this work is thus oriented to clinical research contexts, and our work has limited generalizability to psychedelics administered outside of academic-clinical partnership settings.</w:t>
      </w:r>
    </w:p>
    <w:p w14:paraId="20F6C7A8" w14:textId="4C80AADA" w:rsidR="00AD5916" w:rsidRPr="00AD5916" w:rsidRDefault="00AD5916" w:rsidP="00AD5916">
      <w:pPr>
        <w:spacing w:line="240" w:lineRule="auto"/>
        <w:rPr>
          <w:rFonts w:ascii="Times New Roman" w:eastAsia="Times New Roman" w:hAnsi="Times New Roman" w:cs="Times New Roman"/>
          <w:kern w:val="0"/>
          <w:sz w:val="24"/>
          <w:szCs w:val="24"/>
          <w14:ligatures w14:val="none"/>
        </w:rPr>
      </w:pPr>
      <w:r w:rsidRPr="00AD5916">
        <w:rPr>
          <w:rFonts w:ascii="Times New Roman" w:eastAsia="Times New Roman" w:hAnsi="Times New Roman" w:cs="Times New Roman"/>
          <w:color w:val="000000"/>
          <w:kern w:val="0"/>
          <w:sz w:val="24"/>
          <w:szCs w:val="24"/>
          <w14:ligatures w14:val="none"/>
        </w:rPr>
        <w:t>Collectively, these authors acknowledge a shared motivation to evaluate and improve research practices in a field in which all of us are actively working (clinical research of psychedelics). The design of this research and conclusions drawn are unavoidably impacted by this lens. To reduce biases associated with this motivation and our other professional experiences, qualitative coding for this project was conducted by trained undergraduate students with considerably less exposure to the field relative to other members of the author group. Semi-structured interviews were conducted by either a clinical psychologist with ten years of experience in qualitative research or a trained research assistant working directly under the psychologist’s supervision. To minimize demand characteristics, the interviewers did not have any role</w:t>
      </w:r>
      <w:r w:rsidR="005C57C3">
        <w:rPr>
          <w:rFonts w:ascii="Times New Roman" w:eastAsia="Times New Roman" w:hAnsi="Times New Roman" w:cs="Times New Roman"/>
          <w:color w:val="000000"/>
          <w:kern w:val="0"/>
          <w:sz w:val="24"/>
          <w:szCs w:val="24"/>
          <w14:ligatures w14:val="none"/>
        </w:rPr>
        <w:t>, except for roles having to do with analyses of the present data,</w:t>
      </w:r>
      <w:r w:rsidRPr="00AD5916">
        <w:rPr>
          <w:rFonts w:ascii="Times New Roman" w:eastAsia="Times New Roman" w:hAnsi="Times New Roman" w:cs="Times New Roman"/>
          <w:color w:val="000000"/>
          <w:kern w:val="0"/>
          <w:sz w:val="24"/>
          <w:szCs w:val="24"/>
          <w14:ligatures w14:val="none"/>
        </w:rPr>
        <w:t xml:space="preserve"> in the clinical trial. Participant comfort and trust in the interviewer was not formally evaluated, which is a limitation of this work.</w:t>
      </w:r>
    </w:p>
    <w:p w14:paraId="365636D2" w14:textId="4D166322" w:rsidR="00AD5916" w:rsidRPr="00AD5916" w:rsidRDefault="00AD5916" w:rsidP="00AD5916">
      <w:pPr>
        <w:spacing w:line="240" w:lineRule="auto"/>
        <w:rPr>
          <w:rFonts w:ascii="Times New Roman" w:eastAsia="Times New Roman" w:hAnsi="Times New Roman" w:cs="Times New Roman"/>
          <w:kern w:val="0"/>
          <w:sz w:val="24"/>
          <w:szCs w:val="24"/>
          <w14:ligatures w14:val="none"/>
        </w:rPr>
      </w:pPr>
      <w:r w:rsidRPr="00AD5916">
        <w:rPr>
          <w:rFonts w:ascii="Times New Roman" w:eastAsia="Times New Roman" w:hAnsi="Times New Roman" w:cs="Times New Roman"/>
          <w:color w:val="000000"/>
          <w:kern w:val="0"/>
          <w:sz w:val="24"/>
          <w:szCs w:val="24"/>
          <w14:ligatures w14:val="none"/>
        </w:rPr>
        <w:t xml:space="preserve">Authors of this manuscript identify with the following racial and ethnic identities: Non-Hispanic White, Hispanic/Latinx, Asian, MENA/Iranian, Euro-American. Authors of this manuscript identify with the following nationality and cultural backgrounds: American, Canadian, British, German, Puerto Rican with Argentine cultural background, Scotch-Irish, Jewish, and Bicultural with Dual Citizenship. Other groups with whom one or more authors identify include the LGBTQ+ community, persons with a chronic illness, and persons with an impoverished </w:t>
      </w:r>
      <w:r w:rsidR="00A8270D">
        <w:rPr>
          <w:rFonts w:ascii="Times New Roman" w:eastAsia="Times New Roman" w:hAnsi="Times New Roman" w:cs="Times New Roman"/>
          <w:color w:val="000000"/>
          <w:kern w:val="0"/>
          <w:sz w:val="24"/>
          <w:szCs w:val="24"/>
          <w14:ligatures w14:val="none"/>
        </w:rPr>
        <w:t>economic</w:t>
      </w:r>
      <w:r w:rsidRPr="00AD5916">
        <w:rPr>
          <w:rFonts w:ascii="Times New Roman" w:eastAsia="Times New Roman" w:hAnsi="Times New Roman" w:cs="Times New Roman"/>
          <w:color w:val="000000"/>
          <w:kern w:val="0"/>
          <w:sz w:val="24"/>
          <w:szCs w:val="24"/>
          <w14:ligatures w14:val="none"/>
        </w:rPr>
        <w:t xml:space="preserve"> background</w:t>
      </w:r>
      <w:r w:rsidR="00A60B01">
        <w:rPr>
          <w:rFonts w:ascii="Times New Roman" w:eastAsia="Times New Roman" w:hAnsi="Times New Roman" w:cs="Times New Roman"/>
          <w:color w:val="000000"/>
          <w:kern w:val="0"/>
          <w:sz w:val="24"/>
          <w:szCs w:val="24"/>
          <w14:ligatures w14:val="none"/>
        </w:rPr>
        <w:t>, and first-generation immigrant</w:t>
      </w:r>
      <w:r w:rsidRPr="00AD5916">
        <w:rPr>
          <w:rFonts w:ascii="Times New Roman" w:eastAsia="Times New Roman" w:hAnsi="Times New Roman" w:cs="Times New Roman"/>
          <w:color w:val="000000"/>
          <w:kern w:val="0"/>
          <w:sz w:val="24"/>
          <w:szCs w:val="24"/>
          <w14:ligatures w14:val="none"/>
        </w:rPr>
        <w:t>. We acknowledge that our collective identities do not span the entirety of those who will be involved in clinical research on psilocybin.</w:t>
      </w:r>
    </w:p>
    <w:bookmarkEnd w:id="15"/>
    <w:p w14:paraId="21DA77E8" w14:textId="77777777" w:rsidR="00AD5916" w:rsidRDefault="00AD5916">
      <w:pPr>
        <w:rPr>
          <w:b/>
          <w:bCs/>
        </w:rPr>
      </w:pPr>
    </w:p>
    <w:p w14:paraId="4D0F5D84" w14:textId="52D3C932" w:rsidR="00007737" w:rsidRDefault="00007737">
      <w:r>
        <w:rPr>
          <w:b/>
          <w:bCs/>
        </w:rPr>
        <w:lastRenderedPageBreak/>
        <w:t>References for Supplementary Document</w:t>
      </w:r>
    </w:p>
    <w:p w14:paraId="3A8B2CF8" w14:textId="77777777" w:rsidR="00986042" w:rsidRPr="00986042" w:rsidRDefault="00986042" w:rsidP="00986042">
      <w:pPr>
        <w:pStyle w:val="Bibliography"/>
        <w:rPr>
          <w:rFonts w:ascii="Aptos" w:hAnsi="Aptos"/>
        </w:rPr>
      </w:pPr>
      <w:r w:rsidRPr="00986042">
        <w:rPr>
          <w:rFonts w:ascii="Aptos" w:hAnsi="Aptos"/>
        </w:rPr>
        <w:t xml:space="preserve">Bouwhuis-Van Keulen, A. J., Koelen, J., Eurelings-Bontekoe, L., Hoekstra-Oomen, C., &amp; Glas, G. (2023). The evaluation of religious and spirituality-based therapy compared to standard treatment in mental health care: A multi-level meta-analysis of randomized controlled trials. </w:t>
      </w:r>
      <w:r w:rsidRPr="00986042">
        <w:rPr>
          <w:rFonts w:ascii="Aptos" w:hAnsi="Aptos"/>
          <w:i/>
          <w:iCs/>
        </w:rPr>
        <w:t>Psychotherapy Research</w:t>
      </w:r>
      <w:r w:rsidRPr="00986042">
        <w:rPr>
          <w:rFonts w:ascii="Aptos" w:hAnsi="Aptos"/>
        </w:rPr>
        <w:t xml:space="preserve">, </w:t>
      </w:r>
      <w:r w:rsidRPr="00986042">
        <w:rPr>
          <w:rFonts w:ascii="Aptos" w:hAnsi="Aptos"/>
          <w:i/>
          <w:iCs/>
        </w:rPr>
        <w:t>0</w:t>
      </w:r>
      <w:r w:rsidRPr="00986042">
        <w:rPr>
          <w:rFonts w:ascii="Aptos" w:hAnsi="Aptos"/>
        </w:rPr>
        <w:t xml:space="preserve">(0), 1–14. </w:t>
      </w:r>
      <w:hyperlink r:id="rId8" w:history="1">
        <w:r w:rsidRPr="00986042">
          <w:rPr>
            <w:rStyle w:val="Hyperlink"/>
            <w:rFonts w:ascii="Aptos" w:hAnsi="Aptos"/>
          </w:rPr>
          <w:t>https://doi.org/10.1080/10503307.2023.2241626</w:t>
        </w:r>
      </w:hyperlink>
    </w:p>
    <w:p w14:paraId="68AF6D7E" w14:textId="77777777" w:rsidR="003850BC" w:rsidRPr="003850BC" w:rsidRDefault="003850BC" w:rsidP="003850BC">
      <w:pPr>
        <w:pStyle w:val="Bibliography"/>
        <w:rPr>
          <w:rFonts w:ascii="Aptos" w:hAnsi="Aptos"/>
        </w:rPr>
      </w:pPr>
      <w:r w:rsidRPr="003850BC">
        <w:rPr>
          <w:rFonts w:ascii="Aptos" w:hAnsi="Aptos"/>
        </w:rPr>
        <w:t xml:space="preserve">Buelens, E., Dewitte, L., Dezutter, J., Vandenhoeck, A., &amp; Dillen, A. (2024). The outcomes of healthcare chaplaincy on hospitalized patients. A quasi-experimental study in Belgium. </w:t>
      </w:r>
      <w:r w:rsidRPr="003850BC">
        <w:rPr>
          <w:rFonts w:ascii="Aptos" w:hAnsi="Aptos"/>
          <w:i/>
          <w:iCs/>
        </w:rPr>
        <w:t>Journal of Spirituality in Mental Health</w:t>
      </w:r>
      <w:r w:rsidRPr="003850BC">
        <w:rPr>
          <w:rFonts w:ascii="Aptos" w:hAnsi="Aptos"/>
        </w:rPr>
        <w:t xml:space="preserve">, </w:t>
      </w:r>
      <w:r w:rsidRPr="003850BC">
        <w:rPr>
          <w:rFonts w:ascii="Aptos" w:hAnsi="Aptos"/>
          <w:i/>
          <w:iCs/>
        </w:rPr>
        <w:t>26</w:t>
      </w:r>
      <w:r w:rsidRPr="003850BC">
        <w:rPr>
          <w:rFonts w:ascii="Aptos" w:hAnsi="Aptos"/>
        </w:rPr>
        <w:t xml:space="preserve">(2), 141–164. </w:t>
      </w:r>
      <w:hyperlink r:id="rId9" w:history="1">
        <w:r w:rsidRPr="003850BC">
          <w:rPr>
            <w:rStyle w:val="Hyperlink"/>
            <w:rFonts w:ascii="Aptos" w:hAnsi="Aptos"/>
          </w:rPr>
          <w:t>https://doi.org/10.1080/19349637.2023.2177239</w:t>
        </w:r>
      </w:hyperlink>
    </w:p>
    <w:p w14:paraId="0848E9AF" w14:textId="77777777" w:rsidR="00986042" w:rsidRPr="009F3A9F" w:rsidRDefault="00986042" w:rsidP="00986042">
      <w:pPr>
        <w:pStyle w:val="Bibliography"/>
        <w:rPr>
          <w:rFonts w:ascii="Aptos" w:hAnsi="Aptos"/>
        </w:rPr>
      </w:pPr>
      <w:r w:rsidRPr="009F3A9F">
        <w:rPr>
          <w:rFonts w:ascii="Aptos" w:hAnsi="Aptos"/>
        </w:rPr>
        <w:t xml:space="preserve">Cleeland, C. S. (1989). Measurement of pain by subjective report. In C. R. Chapman &amp; J. D. Loeser (Eds.), </w:t>
      </w:r>
      <w:r w:rsidRPr="009F3A9F">
        <w:rPr>
          <w:rFonts w:ascii="Aptos" w:hAnsi="Aptos"/>
          <w:i/>
          <w:iCs/>
        </w:rPr>
        <w:t>Advances in Pain Research and Therapy</w:t>
      </w:r>
      <w:r w:rsidRPr="009F3A9F">
        <w:rPr>
          <w:rFonts w:ascii="Aptos" w:hAnsi="Aptos"/>
        </w:rPr>
        <w:t xml:space="preserve"> (Vol. 12, pp. 391–403). Raven Press.</w:t>
      </w:r>
    </w:p>
    <w:p w14:paraId="33B94C41" w14:textId="77777777" w:rsidR="004643EF" w:rsidRDefault="004643EF" w:rsidP="00986042">
      <w:pPr>
        <w:pStyle w:val="Bibliography"/>
        <w:rPr>
          <w:rFonts w:ascii="Aptos" w:hAnsi="Aptos"/>
        </w:rPr>
      </w:pPr>
      <w:r w:rsidRPr="004643EF">
        <w:rPr>
          <w:rFonts w:ascii="Aptos" w:hAnsi="Aptos"/>
        </w:rPr>
        <w:t>Curran M. A., Randall A. K. (2021). </w:t>
      </w:r>
      <w:r w:rsidRPr="004643EF">
        <w:rPr>
          <w:rFonts w:ascii="Aptos" w:hAnsi="Aptos"/>
          <w:i/>
          <w:iCs/>
        </w:rPr>
        <w:t>Positionality statements</w:t>
      </w:r>
      <w:r w:rsidRPr="004643EF">
        <w:rPr>
          <w:rFonts w:ascii="Aptos" w:hAnsi="Aptos"/>
        </w:rPr>
        <w:t>. </w:t>
      </w:r>
      <w:hyperlink r:id="rId10" w:history="1">
        <w:r w:rsidRPr="004643EF">
          <w:rPr>
            <w:rStyle w:val="Hyperlink"/>
            <w:rFonts w:ascii="Aptos" w:hAnsi="Aptos"/>
          </w:rPr>
          <w:t>https://onlinelibrary.wiley.com/pb-assets/assets/14756811/Positionality-Statements-1621354517813.pdf</w:t>
        </w:r>
      </w:hyperlink>
    </w:p>
    <w:p w14:paraId="70398BE7" w14:textId="30BF3DF9" w:rsidR="00986042" w:rsidRPr="009F3A9F" w:rsidRDefault="00986042" w:rsidP="00986042">
      <w:pPr>
        <w:pStyle w:val="Bibliography"/>
        <w:rPr>
          <w:rFonts w:ascii="Aptos" w:hAnsi="Aptos"/>
        </w:rPr>
      </w:pPr>
      <w:r w:rsidRPr="009F3A9F">
        <w:rPr>
          <w:rFonts w:ascii="Aptos" w:hAnsi="Aptos"/>
        </w:rPr>
        <w:t xml:space="preserve">Johnson, M., Richards, W., &amp; Griffiths, R. (2008). Human hallucinogen research: Guidelines for safety. </w:t>
      </w:r>
      <w:r w:rsidRPr="009F3A9F">
        <w:rPr>
          <w:rFonts w:ascii="Aptos" w:hAnsi="Aptos"/>
          <w:i/>
          <w:iCs/>
        </w:rPr>
        <w:t>Journal of Psychopharmacology (Oxford, England)</w:t>
      </w:r>
      <w:r w:rsidRPr="009F3A9F">
        <w:rPr>
          <w:rFonts w:ascii="Aptos" w:hAnsi="Aptos"/>
        </w:rPr>
        <w:t xml:space="preserve">, </w:t>
      </w:r>
      <w:r w:rsidRPr="009F3A9F">
        <w:rPr>
          <w:rFonts w:ascii="Aptos" w:hAnsi="Aptos"/>
          <w:i/>
          <w:iCs/>
        </w:rPr>
        <w:t>22</w:t>
      </w:r>
      <w:r w:rsidRPr="009F3A9F">
        <w:rPr>
          <w:rFonts w:ascii="Aptos" w:hAnsi="Aptos"/>
        </w:rPr>
        <w:t>(6), 603–620. https://doi.org/10.1177/0269881108093587</w:t>
      </w:r>
    </w:p>
    <w:p w14:paraId="6AB918FF" w14:textId="77777777" w:rsidR="00986042" w:rsidRPr="009866F5" w:rsidRDefault="00986042" w:rsidP="00986042">
      <w:pPr>
        <w:pStyle w:val="Bibliography"/>
        <w:rPr>
          <w:rFonts w:ascii="Aptos" w:hAnsi="Aptos"/>
        </w:rPr>
      </w:pPr>
      <w:r w:rsidRPr="009866F5">
        <w:rPr>
          <w:rFonts w:ascii="Aptos" w:hAnsi="Aptos"/>
        </w:rPr>
        <w:t xml:space="preserve">Ko, K., Knight, G., Rucker, J. J., &amp; Cleare, A. J. (2022). Psychedelics, Mystical Experience, and Therapeutic Efficacy: A Systematic Review. </w:t>
      </w:r>
      <w:r w:rsidRPr="009866F5">
        <w:rPr>
          <w:rFonts w:ascii="Aptos" w:hAnsi="Aptos"/>
          <w:i/>
          <w:iCs/>
        </w:rPr>
        <w:t>Frontiers in Psychiatry</w:t>
      </w:r>
      <w:r w:rsidRPr="009866F5">
        <w:rPr>
          <w:rFonts w:ascii="Aptos" w:hAnsi="Aptos"/>
        </w:rPr>
        <w:t xml:space="preserve">, </w:t>
      </w:r>
      <w:r w:rsidRPr="009866F5">
        <w:rPr>
          <w:rFonts w:ascii="Aptos" w:hAnsi="Aptos"/>
          <w:i/>
          <w:iCs/>
        </w:rPr>
        <w:t>13</w:t>
      </w:r>
      <w:r w:rsidRPr="009866F5">
        <w:rPr>
          <w:rFonts w:ascii="Aptos" w:hAnsi="Aptos"/>
        </w:rPr>
        <w:t xml:space="preserve">. </w:t>
      </w:r>
      <w:hyperlink r:id="rId11" w:history="1">
        <w:r w:rsidRPr="009866F5">
          <w:rPr>
            <w:rStyle w:val="Hyperlink"/>
            <w:rFonts w:ascii="Aptos" w:hAnsi="Aptos"/>
          </w:rPr>
          <w:t>https://www.frontiersin.org/articles/10.3389/fpsyt.2022.917199</w:t>
        </w:r>
      </w:hyperlink>
    </w:p>
    <w:p w14:paraId="5A00E70C" w14:textId="77777777" w:rsidR="00986042" w:rsidRPr="009F3A9F" w:rsidRDefault="00986042" w:rsidP="00986042">
      <w:pPr>
        <w:pStyle w:val="Bibliography"/>
        <w:rPr>
          <w:rFonts w:ascii="Aptos" w:hAnsi="Aptos"/>
        </w:rPr>
      </w:pPr>
      <w:r w:rsidRPr="009F3A9F">
        <w:rPr>
          <w:rFonts w:ascii="Aptos" w:hAnsi="Aptos"/>
        </w:rPr>
        <w:t xml:space="preserve">Phelps, J. (2017). Developing Guidelines and Competencies for the Training of Psychedelic Therapists. </w:t>
      </w:r>
      <w:r w:rsidRPr="009F3A9F">
        <w:rPr>
          <w:rFonts w:ascii="Aptos" w:hAnsi="Aptos"/>
          <w:i/>
          <w:iCs/>
        </w:rPr>
        <w:t>Journal of Humanistic Psychology</w:t>
      </w:r>
      <w:r w:rsidRPr="009F3A9F">
        <w:rPr>
          <w:rFonts w:ascii="Aptos" w:hAnsi="Aptos"/>
        </w:rPr>
        <w:t xml:space="preserve">, </w:t>
      </w:r>
      <w:r w:rsidRPr="009F3A9F">
        <w:rPr>
          <w:rFonts w:ascii="Aptos" w:hAnsi="Aptos"/>
          <w:i/>
          <w:iCs/>
        </w:rPr>
        <w:t>57</w:t>
      </w:r>
      <w:r w:rsidRPr="009F3A9F">
        <w:rPr>
          <w:rFonts w:ascii="Aptos" w:hAnsi="Aptos"/>
        </w:rPr>
        <w:t>(5), 450–487. https://doi.org/10.1177/0022167817711304</w:t>
      </w:r>
    </w:p>
    <w:p w14:paraId="6FAC8D3A" w14:textId="77777777" w:rsidR="00986042" w:rsidRPr="009866F5" w:rsidRDefault="00986042" w:rsidP="00986042">
      <w:pPr>
        <w:pStyle w:val="Bibliography"/>
        <w:rPr>
          <w:rFonts w:ascii="Aptos" w:hAnsi="Aptos"/>
        </w:rPr>
      </w:pPr>
      <w:r w:rsidRPr="009866F5">
        <w:rPr>
          <w:rFonts w:ascii="Aptos" w:hAnsi="Aptos"/>
        </w:rPr>
        <w:lastRenderedPageBreak/>
        <w:t xml:space="preserve">Palitsky, R., Kaplan, D. M., Peacock, C., Zarrabi, A. J., Maples-Keller, J. L., Grant, G. H., Dunlop, B. W., &amp; Raison, C. L. (2023). Importance of Integrating Spiritual, Existential, Religious, and Theological Components in Psychedelic-Assisted Therapies. </w:t>
      </w:r>
      <w:r w:rsidRPr="009866F5">
        <w:rPr>
          <w:rFonts w:ascii="Aptos" w:hAnsi="Aptos"/>
          <w:i/>
          <w:iCs/>
        </w:rPr>
        <w:t>JAMA Psychiatry</w:t>
      </w:r>
      <w:r w:rsidRPr="009866F5">
        <w:rPr>
          <w:rFonts w:ascii="Aptos" w:hAnsi="Aptos"/>
        </w:rPr>
        <w:t xml:space="preserve">, </w:t>
      </w:r>
      <w:r w:rsidRPr="009866F5">
        <w:rPr>
          <w:rFonts w:ascii="Aptos" w:hAnsi="Aptos"/>
          <w:i/>
          <w:iCs/>
        </w:rPr>
        <w:t>80</w:t>
      </w:r>
      <w:r w:rsidRPr="009866F5">
        <w:rPr>
          <w:rFonts w:ascii="Aptos" w:hAnsi="Aptos"/>
        </w:rPr>
        <w:t xml:space="preserve">(7), 743–749. </w:t>
      </w:r>
      <w:hyperlink r:id="rId12" w:history="1">
        <w:r w:rsidRPr="009866F5">
          <w:rPr>
            <w:rStyle w:val="Hyperlink"/>
            <w:rFonts w:ascii="Aptos" w:hAnsi="Aptos"/>
          </w:rPr>
          <w:t>https://doi.org/10.1001/jamapsychiatry.2023.1554</w:t>
        </w:r>
      </w:hyperlink>
    </w:p>
    <w:p w14:paraId="32ABE4C0" w14:textId="77777777" w:rsidR="004E515D" w:rsidRPr="004E515D" w:rsidRDefault="004E515D" w:rsidP="004E515D">
      <w:pPr>
        <w:pStyle w:val="Bibliography"/>
        <w:rPr>
          <w:rFonts w:ascii="Aptos" w:hAnsi="Aptos"/>
        </w:rPr>
      </w:pPr>
      <w:r w:rsidRPr="004E515D">
        <w:rPr>
          <w:rFonts w:ascii="Aptos" w:hAnsi="Aptos"/>
        </w:rPr>
        <w:t xml:space="preserve">Peacock, C., Mascaro, J. S., Brauer, E., Zarrabi, A. J., Dunlop, B. W., Maples-Keller, J. L., Grant, G. H., Raison, C. L., Rab, F., &amp; Palitsky, R. (2024). Spiritual health practitioners’ contributions to psychedelic assisted therapy: A qualitative analysis. </w:t>
      </w:r>
      <w:r w:rsidRPr="004E515D">
        <w:rPr>
          <w:rFonts w:ascii="Aptos" w:hAnsi="Aptos"/>
          <w:i/>
          <w:iCs/>
        </w:rPr>
        <w:t>PLOS ONE</w:t>
      </w:r>
      <w:r w:rsidRPr="004E515D">
        <w:rPr>
          <w:rFonts w:ascii="Aptos" w:hAnsi="Aptos"/>
        </w:rPr>
        <w:t xml:space="preserve">, </w:t>
      </w:r>
      <w:r w:rsidRPr="004E515D">
        <w:rPr>
          <w:rFonts w:ascii="Aptos" w:hAnsi="Aptos"/>
          <w:i/>
          <w:iCs/>
        </w:rPr>
        <w:t>19</w:t>
      </w:r>
      <w:r w:rsidRPr="004E515D">
        <w:rPr>
          <w:rFonts w:ascii="Aptos" w:hAnsi="Aptos"/>
        </w:rPr>
        <w:t xml:space="preserve">(1), e0296071. </w:t>
      </w:r>
      <w:hyperlink r:id="rId13" w:history="1">
        <w:r w:rsidRPr="004E515D">
          <w:rPr>
            <w:rStyle w:val="Hyperlink"/>
            <w:rFonts w:ascii="Aptos" w:hAnsi="Aptos"/>
          </w:rPr>
          <w:t>https://doi.org/10.1371/journal.pone.0296071</w:t>
        </w:r>
      </w:hyperlink>
    </w:p>
    <w:p w14:paraId="1DE5D4CE" w14:textId="77777777" w:rsidR="0069326C" w:rsidRDefault="0069326C" w:rsidP="00986042">
      <w:pPr>
        <w:pStyle w:val="Bibliography"/>
        <w:rPr>
          <w:rFonts w:ascii="Aptos" w:hAnsi="Aptos"/>
        </w:rPr>
      </w:pPr>
      <w:r w:rsidRPr="0069326C">
        <w:rPr>
          <w:rFonts w:ascii="Aptos" w:hAnsi="Aptos"/>
        </w:rPr>
        <w:t>Roberts, S. O., Bareket-Shavit, C., Dollins, F. A., Goldie, P. D., &amp; Mortenson, E. (2020). Racial inequality in psychological research: Trends of the past and recommendations for the future. </w:t>
      </w:r>
      <w:r w:rsidRPr="0069326C">
        <w:rPr>
          <w:rFonts w:ascii="Aptos" w:hAnsi="Aptos"/>
          <w:i/>
          <w:iCs/>
        </w:rPr>
        <w:t>Perspectives on Psychological Science, 15</w:t>
      </w:r>
      <w:r w:rsidRPr="0069326C">
        <w:rPr>
          <w:rFonts w:ascii="Aptos" w:hAnsi="Aptos"/>
        </w:rPr>
        <w:t>, 1295–1309.</w:t>
      </w:r>
    </w:p>
    <w:p w14:paraId="3A5C5F98" w14:textId="48F71A0A" w:rsidR="00007737" w:rsidRPr="0069326C" w:rsidRDefault="00986042" w:rsidP="0069326C">
      <w:pPr>
        <w:pStyle w:val="Bibliography"/>
        <w:rPr>
          <w:rFonts w:ascii="Aptos" w:hAnsi="Aptos"/>
        </w:rPr>
      </w:pPr>
      <w:r w:rsidRPr="009F3A9F">
        <w:rPr>
          <w:rFonts w:ascii="Aptos" w:hAnsi="Aptos"/>
        </w:rPr>
        <w:t xml:space="preserve">Robinson, S., Kissane, D. W., Brooker, J., Michael, N., Fischer, J., Franco, M., Hempton, C., Sulistio, M., Pallant, J. F., Clarke, D. M., &amp; Burney, S. (2016). Refinement and revalidation of the demoralization scale: The DS-II—internal validity. </w:t>
      </w:r>
      <w:r w:rsidRPr="009F3A9F">
        <w:rPr>
          <w:rFonts w:ascii="Aptos" w:hAnsi="Aptos"/>
          <w:i/>
          <w:iCs/>
        </w:rPr>
        <w:t>Cancer</w:t>
      </w:r>
      <w:r w:rsidRPr="009F3A9F">
        <w:rPr>
          <w:rFonts w:ascii="Aptos" w:hAnsi="Aptos"/>
        </w:rPr>
        <w:t xml:space="preserve">, </w:t>
      </w:r>
      <w:r w:rsidRPr="009F3A9F">
        <w:rPr>
          <w:rFonts w:ascii="Aptos" w:hAnsi="Aptos"/>
          <w:i/>
          <w:iCs/>
        </w:rPr>
        <w:t>122</w:t>
      </w:r>
      <w:r w:rsidRPr="009F3A9F">
        <w:rPr>
          <w:rFonts w:ascii="Aptos" w:hAnsi="Aptos"/>
        </w:rPr>
        <w:t>(14), 2251–2259. https://doi.org/10.1002/cncr.30015</w:t>
      </w:r>
    </w:p>
    <w:sectPr w:rsidR="00007737" w:rsidRPr="0069326C" w:rsidSect="003412E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0CF5F" w14:textId="77777777" w:rsidR="00915B1A" w:rsidRDefault="00915B1A" w:rsidP="00500680">
      <w:pPr>
        <w:spacing w:after="0" w:line="240" w:lineRule="auto"/>
      </w:pPr>
      <w:r>
        <w:separator/>
      </w:r>
    </w:p>
  </w:endnote>
  <w:endnote w:type="continuationSeparator" w:id="0">
    <w:p w14:paraId="4940B277" w14:textId="77777777" w:rsidR="00915B1A" w:rsidRDefault="00915B1A" w:rsidP="00500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2213100"/>
      <w:docPartObj>
        <w:docPartGallery w:val="Page Numbers (Bottom of Page)"/>
        <w:docPartUnique/>
      </w:docPartObj>
    </w:sdtPr>
    <w:sdtEndPr>
      <w:rPr>
        <w:noProof/>
      </w:rPr>
    </w:sdtEndPr>
    <w:sdtContent>
      <w:p w14:paraId="5001331A" w14:textId="305B0AF2" w:rsidR="00500680" w:rsidRDefault="005006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7DDFD5" w14:textId="77777777" w:rsidR="00500680" w:rsidRDefault="005006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D6124" w14:textId="77777777" w:rsidR="00915B1A" w:rsidRDefault="00915B1A" w:rsidP="00500680">
      <w:pPr>
        <w:spacing w:after="0" w:line="240" w:lineRule="auto"/>
      </w:pPr>
      <w:r>
        <w:separator/>
      </w:r>
    </w:p>
  </w:footnote>
  <w:footnote w:type="continuationSeparator" w:id="0">
    <w:p w14:paraId="6FC62AFF" w14:textId="77777777" w:rsidR="00915B1A" w:rsidRDefault="00915B1A" w:rsidP="00500680">
      <w:pPr>
        <w:spacing w:after="0" w:line="240" w:lineRule="auto"/>
      </w:pPr>
      <w:r>
        <w:continuationSeparator/>
      </w:r>
    </w:p>
  </w:footnote>
  <w:footnote w:id="1">
    <w:p w14:paraId="6A2754FA" w14:textId="6CC18323" w:rsidR="009866F5" w:rsidRDefault="009866F5">
      <w:pPr>
        <w:pStyle w:val="FootnoteText"/>
      </w:pPr>
      <w:bookmarkStart w:id="13" w:name="_Hlk174086959"/>
      <w:r>
        <w:rPr>
          <w:rStyle w:val="FootnoteReference"/>
        </w:rPr>
        <w:footnoteRef/>
      </w:r>
      <w:r>
        <w:t xml:space="preserve"> The Usona Institute Manual for Clinical Facilitators has been used in prior studies of psilocybin (e.g., for major depression: Raison et al., 2023). It was provided by the Usona Institute for this trial but is not yet available in the public domain. For further inquiries about this manual please contact the Usona Institute (</w:t>
      </w:r>
      <w:hyperlink r:id="rId1" w:history="1">
        <w:r w:rsidRPr="007A07D1">
          <w:rPr>
            <w:rStyle w:val="Hyperlink"/>
          </w:rPr>
          <w:t>https://www.usonainstitute.org/contact</w:t>
        </w:r>
      </w:hyperlink>
      <w:r>
        <w:t>) or,  for questions about manual content as applied in this trial, please contact the corresponding author.</w:t>
      </w:r>
      <w:bookmarkEnd w:id="13"/>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6B3"/>
    <w:rsid w:val="00007737"/>
    <w:rsid w:val="00012548"/>
    <w:rsid w:val="000136CD"/>
    <w:rsid w:val="00040DD9"/>
    <w:rsid w:val="00063B52"/>
    <w:rsid w:val="000C3BE9"/>
    <w:rsid w:val="000C4A0B"/>
    <w:rsid w:val="000D6227"/>
    <w:rsid w:val="000F1A06"/>
    <w:rsid w:val="000F1FE4"/>
    <w:rsid w:val="00116D38"/>
    <w:rsid w:val="00116E0F"/>
    <w:rsid w:val="0012648A"/>
    <w:rsid w:val="0013521B"/>
    <w:rsid w:val="00143691"/>
    <w:rsid w:val="001476BD"/>
    <w:rsid w:val="001612E8"/>
    <w:rsid w:val="00164E5F"/>
    <w:rsid w:val="00182C1F"/>
    <w:rsid w:val="001D594D"/>
    <w:rsid w:val="00210CAD"/>
    <w:rsid w:val="00211349"/>
    <w:rsid w:val="002250FB"/>
    <w:rsid w:val="00251DBE"/>
    <w:rsid w:val="00295770"/>
    <w:rsid w:val="0029592C"/>
    <w:rsid w:val="00295BA5"/>
    <w:rsid w:val="002A6132"/>
    <w:rsid w:val="002B0BF2"/>
    <w:rsid w:val="003143F5"/>
    <w:rsid w:val="003412E1"/>
    <w:rsid w:val="00357CD7"/>
    <w:rsid w:val="00370267"/>
    <w:rsid w:val="003850BC"/>
    <w:rsid w:val="00404097"/>
    <w:rsid w:val="004050C2"/>
    <w:rsid w:val="00405304"/>
    <w:rsid w:val="0041188F"/>
    <w:rsid w:val="00422CF8"/>
    <w:rsid w:val="004417BE"/>
    <w:rsid w:val="00455963"/>
    <w:rsid w:val="004571F1"/>
    <w:rsid w:val="004576B1"/>
    <w:rsid w:val="004643EF"/>
    <w:rsid w:val="00466B05"/>
    <w:rsid w:val="00493BFA"/>
    <w:rsid w:val="00496E9A"/>
    <w:rsid w:val="004E515D"/>
    <w:rsid w:val="00500680"/>
    <w:rsid w:val="0051302A"/>
    <w:rsid w:val="00533E1E"/>
    <w:rsid w:val="00571923"/>
    <w:rsid w:val="00591595"/>
    <w:rsid w:val="005B2D4C"/>
    <w:rsid w:val="005B6190"/>
    <w:rsid w:val="005C2BE2"/>
    <w:rsid w:val="005C496A"/>
    <w:rsid w:val="005C57C3"/>
    <w:rsid w:val="005D29C8"/>
    <w:rsid w:val="005E473C"/>
    <w:rsid w:val="005F4610"/>
    <w:rsid w:val="005F46D1"/>
    <w:rsid w:val="00641F12"/>
    <w:rsid w:val="00643986"/>
    <w:rsid w:val="0064571C"/>
    <w:rsid w:val="00656631"/>
    <w:rsid w:val="0069326C"/>
    <w:rsid w:val="0069335C"/>
    <w:rsid w:val="006A5AA5"/>
    <w:rsid w:val="006B5C21"/>
    <w:rsid w:val="006C0326"/>
    <w:rsid w:val="006D15D0"/>
    <w:rsid w:val="006F1313"/>
    <w:rsid w:val="006F1336"/>
    <w:rsid w:val="00702B5F"/>
    <w:rsid w:val="007054F5"/>
    <w:rsid w:val="007104F4"/>
    <w:rsid w:val="00713ECE"/>
    <w:rsid w:val="0072451A"/>
    <w:rsid w:val="0072697F"/>
    <w:rsid w:val="007326B3"/>
    <w:rsid w:val="00783B2B"/>
    <w:rsid w:val="00793F27"/>
    <w:rsid w:val="00797D4D"/>
    <w:rsid w:val="007A16FD"/>
    <w:rsid w:val="007E55C7"/>
    <w:rsid w:val="007E6542"/>
    <w:rsid w:val="007E7AED"/>
    <w:rsid w:val="007F332F"/>
    <w:rsid w:val="008042F0"/>
    <w:rsid w:val="00814B5D"/>
    <w:rsid w:val="00836168"/>
    <w:rsid w:val="0083770E"/>
    <w:rsid w:val="008624BA"/>
    <w:rsid w:val="0086575C"/>
    <w:rsid w:val="00867DA6"/>
    <w:rsid w:val="00867F0F"/>
    <w:rsid w:val="00883676"/>
    <w:rsid w:val="008C0A30"/>
    <w:rsid w:val="008D15B0"/>
    <w:rsid w:val="008E35C3"/>
    <w:rsid w:val="008E4671"/>
    <w:rsid w:val="008F0FDC"/>
    <w:rsid w:val="008F1EA2"/>
    <w:rsid w:val="008F42F0"/>
    <w:rsid w:val="00912279"/>
    <w:rsid w:val="00915B1A"/>
    <w:rsid w:val="009407D8"/>
    <w:rsid w:val="00986042"/>
    <w:rsid w:val="009866F5"/>
    <w:rsid w:val="009B0C81"/>
    <w:rsid w:val="009D69CD"/>
    <w:rsid w:val="009E5BF2"/>
    <w:rsid w:val="009F3A9F"/>
    <w:rsid w:val="00A007BE"/>
    <w:rsid w:val="00A124AF"/>
    <w:rsid w:val="00A1406F"/>
    <w:rsid w:val="00A40812"/>
    <w:rsid w:val="00A42050"/>
    <w:rsid w:val="00A51B77"/>
    <w:rsid w:val="00A51EDC"/>
    <w:rsid w:val="00A60B01"/>
    <w:rsid w:val="00A8270D"/>
    <w:rsid w:val="00AC16ED"/>
    <w:rsid w:val="00AC2D6F"/>
    <w:rsid w:val="00AD1C08"/>
    <w:rsid w:val="00AD5916"/>
    <w:rsid w:val="00B00861"/>
    <w:rsid w:val="00B6037F"/>
    <w:rsid w:val="00B64211"/>
    <w:rsid w:val="00B74ADF"/>
    <w:rsid w:val="00B827BF"/>
    <w:rsid w:val="00B84011"/>
    <w:rsid w:val="00B8526D"/>
    <w:rsid w:val="00B9686B"/>
    <w:rsid w:val="00BB2CF0"/>
    <w:rsid w:val="00BD4BA7"/>
    <w:rsid w:val="00C009D8"/>
    <w:rsid w:val="00C028B2"/>
    <w:rsid w:val="00C17E95"/>
    <w:rsid w:val="00C806A0"/>
    <w:rsid w:val="00C9359A"/>
    <w:rsid w:val="00CB0332"/>
    <w:rsid w:val="00CB55D4"/>
    <w:rsid w:val="00CC7DB4"/>
    <w:rsid w:val="00CD1CE5"/>
    <w:rsid w:val="00CE32AA"/>
    <w:rsid w:val="00CF6379"/>
    <w:rsid w:val="00D11A15"/>
    <w:rsid w:val="00D32E86"/>
    <w:rsid w:val="00D4037D"/>
    <w:rsid w:val="00D60D87"/>
    <w:rsid w:val="00D763E6"/>
    <w:rsid w:val="00D91CF8"/>
    <w:rsid w:val="00D9565A"/>
    <w:rsid w:val="00DA0B3F"/>
    <w:rsid w:val="00DA6930"/>
    <w:rsid w:val="00DB7607"/>
    <w:rsid w:val="00DC26B8"/>
    <w:rsid w:val="00DD1540"/>
    <w:rsid w:val="00E14554"/>
    <w:rsid w:val="00E14A70"/>
    <w:rsid w:val="00E30E46"/>
    <w:rsid w:val="00E35E95"/>
    <w:rsid w:val="00E4638C"/>
    <w:rsid w:val="00E9514A"/>
    <w:rsid w:val="00EA19DE"/>
    <w:rsid w:val="00EE6155"/>
    <w:rsid w:val="00F03D53"/>
    <w:rsid w:val="00F11EAE"/>
    <w:rsid w:val="00F1460A"/>
    <w:rsid w:val="00F509D7"/>
    <w:rsid w:val="00F6723D"/>
    <w:rsid w:val="00F67363"/>
    <w:rsid w:val="00F765DD"/>
    <w:rsid w:val="00F84D47"/>
    <w:rsid w:val="00F8593A"/>
    <w:rsid w:val="00FE4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2CB6E"/>
  <w15:chartTrackingRefBased/>
  <w15:docId w15:val="{81BEC251-45F3-4943-AFC9-B70521FA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ADF"/>
  </w:style>
  <w:style w:type="paragraph" w:styleId="Heading1">
    <w:name w:val="heading 1"/>
    <w:basedOn w:val="Normal"/>
    <w:next w:val="Normal"/>
    <w:link w:val="Heading1Char"/>
    <w:uiPriority w:val="9"/>
    <w:qFormat/>
    <w:rsid w:val="007326B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7326B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7326B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7326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26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26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26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26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26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26B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7326B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7326B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7326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26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26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26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26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26B3"/>
    <w:rPr>
      <w:rFonts w:eastAsiaTheme="majorEastAsia" w:cstheme="majorBidi"/>
      <w:color w:val="272727" w:themeColor="text1" w:themeTint="D8"/>
    </w:rPr>
  </w:style>
  <w:style w:type="paragraph" w:styleId="Title">
    <w:name w:val="Title"/>
    <w:basedOn w:val="Normal"/>
    <w:next w:val="Normal"/>
    <w:link w:val="TitleChar"/>
    <w:uiPriority w:val="10"/>
    <w:qFormat/>
    <w:rsid w:val="007326B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7326B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7326B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7326B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7326B3"/>
    <w:pPr>
      <w:spacing w:before="160"/>
      <w:jc w:val="center"/>
    </w:pPr>
    <w:rPr>
      <w:i/>
      <w:iCs/>
      <w:color w:val="404040" w:themeColor="text1" w:themeTint="BF"/>
    </w:rPr>
  </w:style>
  <w:style w:type="character" w:customStyle="1" w:styleId="QuoteChar">
    <w:name w:val="Quote Char"/>
    <w:basedOn w:val="DefaultParagraphFont"/>
    <w:link w:val="Quote"/>
    <w:uiPriority w:val="29"/>
    <w:rsid w:val="007326B3"/>
    <w:rPr>
      <w:i/>
      <w:iCs/>
      <w:color w:val="404040" w:themeColor="text1" w:themeTint="BF"/>
    </w:rPr>
  </w:style>
  <w:style w:type="paragraph" w:styleId="ListParagraph">
    <w:name w:val="List Paragraph"/>
    <w:basedOn w:val="Normal"/>
    <w:uiPriority w:val="34"/>
    <w:qFormat/>
    <w:rsid w:val="007326B3"/>
    <w:pPr>
      <w:ind w:left="720"/>
      <w:contextualSpacing/>
    </w:pPr>
  </w:style>
  <w:style w:type="character" w:styleId="IntenseEmphasis">
    <w:name w:val="Intense Emphasis"/>
    <w:basedOn w:val="DefaultParagraphFont"/>
    <w:uiPriority w:val="21"/>
    <w:qFormat/>
    <w:rsid w:val="007326B3"/>
    <w:rPr>
      <w:i/>
      <w:iCs/>
      <w:color w:val="0F4761" w:themeColor="accent1" w:themeShade="BF"/>
    </w:rPr>
  </w:style>
  <w:style w:type="paragraph" w:styleId="IntenseQuote">
    <w:name w:val="Intense Quote"/>
    <w:basedOn w:val="Normal"/>
    <w:next w:val="Normal"/>
    <w:link w:val="IntenseQuoteChar"/>
    <w:uiPriority w:val="30"/>
    <w:qFormat/>
    <w:rsid w:val="007326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26B3"/>
    <w:rPr>
      <w:i/>
      <w:iCs/>
      <w:color w:val="0F4761" w:themeColor="accent1" w:themeShade="BF"/>
    </w:rPr>
  </w:style>
  <w:style w:type="character" w:styleId="IntenseReference">
    <w:name w:val="Intense Reference"/>
    <w:basedOn w:val="DefaultParagraphFont"/>
    <w:uiPriority w:val="32"/>
    <w:qFormat/>
    <w:rsid w:val="007326B3"/>
    <w:rPr>
      <w:b/>
      <w:bCs/>
      <w:smallCaps/>
      <w:color w:val="0F4761" w:themeColor="accent1" w:themeShade="BF"/>
      <w:spacing w:val="5"/>
    </w:rPr>
  </w:style>
  <w:style w:type="table" w:styleId="TableGrid">
    <w:name w:val="Table Grid"/>
    <w:basedOn w:val="TableNormal"/>
    <w:uiPriority w:val="39"/>
    <w:rsid w:val="008E46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007737"/>
    <w:pPr>
      <w:spacing w:after="0" w:line="480" w:lineRule="auto"/>
      <w:ind w:left="720" w:hanging="720"/>
    </w:pPr>
  </w:style>
  <w:style w:type="paragraph" w:styleId="NormalWeb">
    <w:name w:val="Normal (Web)"/>
    <w:basedOn w:val="Normal"/>
    <w:uiPriority w:val="99"/>
    <w:unhideWhenUsed/>
    <w:rsid w:val="00BD4BA7"/>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5006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680"/>
  </w:style>
  <w:style w:type="paragraph" w:styleId="Footer">
    <w:name w:val="footer"/>
    <w:basedOn w:val="Normal"/>
    <w:link w:val="FooterChar"/>
    <w:uiPriority w:val="99"/>
    <w:unhideWhenUsed/>
    <w:rsid w:val="005006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680"/>
  </w:style>
  <w:style w:type="paragraph" w:styleId="FootnoteText">
    <w:name w:val="footnote text"/>
    <w:basedOn w:val="Normal"/>
    <w:link w:val="FootnoteTextChar"/>
    <w:uiPriority w:val="99"/>
    <w:semiHidden/>
    <w:unhideWhenUsed/>
    <w:rsid w:val="009866F5"/>
    <w:pPr>
      <w:spacing w:after="0" w:line="240" w:lineRule="auto"/>
    </w:pPr>
    <w:rPr>
      <w:sz w:val="20"/>
      <w:szCs w:val="18"/>
    </w:rPr>
  </w:style>
  <w:style w:type="character" w:customStyle="1" w:styleId="FootnoteTextChar">
    <w:name w:val="Footnote Text Char"/>
    <w:basedOn w:val="DefaultParagraphFont"/>
    <w:link w:val="FootnoteText"/>
    <w:uiPriority w:val="99"/>
    <w:semiHidden/>
    <w:rsid w:val="009866F5"/>
    <w:rPr>
      <w:sz w:val="20"/>
      <w:szCs w:val="18"/>
    </w:rPr>
  </w:style>
  <w:style w:type="character" w:styleId="FootnoteReference">
    <w:name w:val="footnote reference"/>
    <w:basedOn w:val="DefaultParagraphFont"/>
    <w:uiPriority w:val="99"/>
    <w:semiHidden/>
    <w:unhideWhenUsed/>
    <w:rsid w:val="009866F5"/>
    <w:rPr>
      <w:vertAlign w:val="superscript"/>
    </w:rPr>
  </w:style>
  <w:style w:type="character" w:styleId="Hyperlink">
    <w:name w:val="Hyperlink"/>
    <w:basedOn w:val="DefaultParagraphFont"/>
    <w:uiPriority w:val="99"/>
    <w:unhideWhenUsed/>
    <w:rsid w:val="009866F5"/>
    <w:rPr>
      <w:color w:val="467886" w:themeColor="hyperlink"/>
      <w:u w:val="single"/>
    </w:rPr>
  </w:style>
  <w:style w:type="character" w:styleId="UnresolvedMention">
    <w:name w:val="Unresolved Mention"/>
    <w:basedOn w:val="DefaultParagraphFont"/>
    <w:uiPriority w:val="99"/>
    <w:semiHidden/>
    <w:unhideWhenUsed/>
    <w:rsid w:val="009866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488305">
      <w:bodyDiv w:val="1"/>
      <w:marLeft w:val="0"/>
      <w:marRight w:val="0"/>
      <w:marTop w:val="0"/>
      <w:marBottom w:val="0"/>
      <w:divBdr>
        <w:top w:val="none" w:sz="0" w:space="0" w:color="auto"/>
        <w:left w:val="none" w:sz="0" w:space="0" w:color="auto"/>
        <w:bottom w:val="none" w:sz="0" w:space="0" w:color="auto"/>
        <w:right w:val="none" w:sz="0" w:space="0" w:color="auto"/>
      </w:divBdr>
      <w:divsChild>
        <w:div w:id="1431049057">
          <w:marLeft w:val="480"/>
          <w:marRight w:val="0"/>
          <w:marTop w:val="0"/>
          <w:marBottom w:val="0"/>
          <w:divBdr>
            <w:top w:val="none" w:sz="0" w:space="0" w:color="auto"/>
            <w:left w:val="none" w:sz="0" w:space="0" w:color="auto"/>
            <w:bottom w:val="none" w:sz="0" w:space="0" w:color="auto"/>
            <w:right w:val="none" w:sz="0" w:space="0" w:color="auto"/>
          </w:divBdr>
          <w:divsChild>
            <w:div w:id="11304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78037">
      <w:bodyDiv w:val="1"/>
      <w:marLeft w:val="0"/>
      <w:marRight w:val="0"/>
      <w:marTop w:val="0"/>
      <w:marBottom w:val="0"/>
      <w:divBdr>
        <w:top w:val="none" w:sz="0" w:space="0" w:color="auto"/>
        <w:left w:val="none" w:sz="0" w:space="0" w:color="auto"/>
        <w:bottom w:val="none" w:sz="0" w:space="0" w:color="auto"/>
        <w:right w:val="none" w:sz="0" w:space="0" w:color="auto"/>
      </w:divBdr>
    </w:div>
    <w:div w:id="454519063">
      <w:bodyDiv w:val="1"/>
      <w:marLeft w:val="0"/>
      <w:marRight w:val="0"/>
      <w:marTop w:val="0"/>
      <w:marBottom w:val="0"/>
      <w:divBdr>
        <w:top w:val="none" w:sz="0" w:space="0" w:color="auto"/>
        <w:left w:val="none" w:sz="0" w:space="0" w:color="auto"/>
        <w:bottom w:val="none" w:sz="0" w:space="0" w:color="auto"/>
        <w:right w:val="none" w:sz="0" w:space="0" w:color="auto"/>
      </w:divBdr>
      <w:divsChild>
        <w:div w:id="261888219">
          <w:marLeft w:val="480"/>
          <w:marRight w:val="0"/>
          <w:marTop w:val="0"/>
          <w:marBottom w:val="0"/>
          <w:divBdr>
            <w:top w:val="none" w:sz="0" w:space="0" w:color="auto"/>
            <w:left w:val="none" w:sz="0" w:space="0" w:color="auto"/>
            <w:bottom w:val="none" w:sz="0" w:space="0" w:color="auto"/>
            <w:right w:val="none" w:sz="0" w:space="0" w:color="auto"/>
          </w:divBdr>
          <w:divsChild>
            <w:div w:id="46577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67873">
      <w:bodyDiv w:val="1"/>
      <w:marLeft w:val="0"/>
      <w:marRight w:val="0"/>
      <w:marTop w:val="0"/>
      <w:marBottom w:val="0"/>
      <w:divBdr>
        <w:top w:val="none" w:sz="0" w:space="0" w:color="auto"/>
        <w:left w:val="none" w:sz="0" w:space="0" w:color="auto"/>
        <w:bottom w:val="none" w:sz="0" w:space="0" w:color="auto"/>
        <w:right w:val="none" w:sz="0" w:space="0" w:color="auto"/>
      </w:divBdr>
      <w:divsChild>
        <w:div w:id="1369376015">
          <w:marLeft w:val="480"/>
          <w:marRight w:val="0"/>
          <w:marTop w:val="0"/>
          <w:marBottom w:val="0"/>
          <w:divBdr>
            <w:top w:val="none" w:sz="0" w:space="0" w:color="auto"/>
            <w:left w:val="none" w:sz="0" w:space="0" w:color="auto"/>
            <w:bottom w:val="none" w:sz="0" w:space="0" w:color="auto"/>
            <w:right w:val="none" w:sz="0" w:space="0" w:color="auto"/>
          </w:divBdr>
          <w:divsChild>
            <w:div w:id="58349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491278">
      <w:bodyDiv w:val="1"/>
      <w:marLeft w:val="0"/>
      <w:marRight w:val="0"/>
      <w:marTop w:val="0"/>
      <w:marBottom w:val="0"/>
      <w:divBdr>
        <w:top w:val="none" w:sz="0" w:space="0" w:color="auto"/>
        <w:left w:val="none" w:sz="0" w:space="0" w:color="auto"/>
        <w:bottom w:val="none" w:sz="0" w:space="0" w:color="auto"/>
        <w:right w:val="none" w:sz="0" w:space="0" w:color="auto"/>
      </w:divBdr>
      <w:divsChild>
        <w:div w:id="1154882099">
          <w:marLeft w:val="480"/>
          <w:marRight w:val="0"/>
          <w:marTop w:val="0"/>
          <w:marBottom w:val="0"/>
          <w:divBdr>
            <w:top w:val="none" w:sz="0" w:space="0" w:color="auto"/>
            <w:left w:val="none" w:sz="0" w:space="0" w:color="auto"/>
            <w:bottom w:val="none" w:sz="0" w:space="0" w:color="auto"/>
            <w:right w:val="none" w:sz="0" w:space="0" w:color="auto"/>
          </w:divBdr>
          <w:divsChild>
            <w:div w:id="8408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71453">
      <w:bodyDiv w:val="1"/>
      <w:marLeft w:val="0"/>
      <w:marRight w:val="0"/>
      <w:marTop w:val="0"/>
      <w:marBottom w:val="0"/>
      <w:divBdr>
        <w:top w:val="none" w:sz="0" w:space="0" w:color="auto"/>
        <w:left w:val="none" w:sz="0" w:space="0" w:color="auto"/>
        <w:bottom w:val="none" w:sz="0" w:space="0" w:color="auto"/>
        <w:right w:val="none" w:sz="0" w:space="0" w:color="auto"/>
      </w:divBdr>
    </w:div>
    <w:div w:id="959527649">
      <w:bodyDiv w:val="1"/>
      <w:marLeft w:val="0"/>
      <w:marRight w:val="0"/>
      <w:marTop w:val="0"/>
      <w:marBottom w:val="0"/>
      <w:divBdr>
        <w:top w:val="none" w:sz="0" w:space="0" w:color="auto"/>
        <w:left w:val="none" w:sz="0" w:space="0" w:color="auto"/>
        <w:bottom w:val="none" w:sz="0" w:space="0" w:color="auto"/>
        <w:right w:val="none" w:sz="0" w:space="0" w:color="auto"/>
      </w:divBdr>
      <w:divsChild>
        <w:div w:id="494607617">
          <w:marLeft w:val="480"/>
          <w:marRight w:val="0"/>
          <w:marTop w:val="0"/>
          <w:marBottom w:val="0"/>
          <w:divBdr>
            <w:top w:val="none" w:sz="0" w:space="0" w:color="auto"/>
            <w:left w:val="none" w:sz="0" w:space="0" w:color="auto"/>
            <w:bottom w:val="none" w:sz="0" w:space="0" w:color="auto"/>
            <w:right w:val="none" w:sz="0" w:space="0" w:color="auto"/>
          </w:divBdr>
          <w:divsChild>
            <w:div w:id="115784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736320">
      <w:bodyDiv w:val="1"/>
      <w:marLeft w:val="0"/>
      <w:marRight w:val="0"/>
      <w:marTop w:val="0"/>
      <w:marBottom w:val="0"/>
      <w:divBdr>
        <w:top w:val="none" w:sz="0" w:space="0" w:color="auto"/>
        <w:left w:val="none" w:sz="0" w:space="0" w:color="auto"/>
        <w:bottom w:val="none" w:sz="0" w:space="0" w:color="auto"/>
        <w:right w:val="none" w:sz="0" w:space="0" w:color="auto"/>
      </w:divBdr>
      <w:divsChild>
        <w:div w:id="8529634">
          <w:marLeft w:val="480"/>
          <w:marRight w:val="0"/>
          <w:marTop w:val="0"/>
          <w:marBottom w:val="0"/>
          <w:divBdr>
            <w:top w:val="none" w:sz="0" w:space="0" w:color="auto"/>
            <w:left w:val="none" w:sz="0" w:space="0" w:color="auto"/>
            <w:bottom w:val="none" w:sz="0" w:space="0" w:color="auto"/>
            <w:right w:val="none" w:sz="0" w:space="0" w:color="auto"/>
          </w:divBdr>
          <w:divsChild>
            <w:div w:id="19232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473218">
      <w:bodyDiv w:val="1"/>
      <w:marLeft w:val="0"/>
      <w:marRight w:val="0"/>
      <w:marTop w:val="0"/>
      <w:marBottom w:val="0"/>
      <w:divBdr>
        <w:top w:val="none" w:sz="0" w:space="0" w:color="auto"/>
        <w:left w:val="none" w:sz="0" w:space="0" w:color="auto"/>
        <w:bottom w:val="none" w:sz="0" w:space="0" w:color="auto"/>
        <w:right w:val="none" w:sz="0" w:space="0" w:color="auto"/>
      </w:divBdr>
      <w:divsChild>
        <w:div w:id="1387224049">
          <w:marLeft w:val="480"/>
          <w:marRight w:val="0"/>
          <w:marTop w:val="0"/>
          <w:marBottom w:val="0"/>
          <w:divBdr>
            <w:top w:val="none" w:sz="0" w:space="0" w:color="auto"/>
            <w:left w:val="none" w:sz="0" w:space="0" w:color="auto"/>
            <w:bottom w:val="none" w:sz="0" w:space="0" w:color="auto"/>
            <w:right w:val="none" w:sz="0" w:space="0" w:color="auto"/>
          </w:divBdr>
          <w:divsChild>
            <w:div w:id="143998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357616">
      <w:bodyDiv w:val="1"/>
      <w:marLeft w:val="0"/>
      <w:marRight w:val="0"/>
      <w:marTop w:val="0"/>
      <w:marBottom w:val="0"/>
      <w:divBdr>
        <w:top w:val="none" w:sz="0" w:space="0" w:color="auto"/>
        <w:left w:val="none" w:sz="0" w:space="0" w:color="auto"/>
        <w:bottom w:val="none" w:sz="0" w:space="0" w:color="auto"/>
        <w:right w:val="none" w:sz="0" w:space="0" w:color="auto"/>
      </w:divBdr>
      <w:divsChild>
        <w:div w:id="422992681">
          <w:marLeft w:val="480"/>
          <w:marRight w:val="0"/>
          <w:marTop w:val="0"/>
          <w:marBottom w:val="0"/>
          <w:divBdr>
            <w:top w:val="none" w:sz="0" w:space="0" w:color="auto"/>
            <w:left w:val="none" w:sz="0" w:space="0" w:color="auto"/>
            <w:bottom w:val="none" w:sz="0" w:space="0" w:color="auto"/>
            <w:right w:val="none" w:sz="0" w:space="0" w:color="auto"/>
          </w:divBdr>
          <w:divsChild>
            <w:div w:id="141979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600810">
      <w:bodyDiv w:val="1"/>
      <w:marLeft w:val="0"/>
      <w:marRight w:val="0"/>
      <w:marTop w:val="0"/>
      <w:marBottom w:val="0"/>
      <w:divBdr>
        <w:top w:val="none" w:sz="0" w:space="0" w:color="auto"/>
        <w:left w:val="none" w:sz="0" w:space="0" w:color="auto"/>
        <w:bottom w:val="none" w:sz="0" w:space="0" w:color="auto"/>
        <w:right w:val="none" w:sz="0" w:space="0" w:color="auto"/>
      </w:divBdr>
      <w:divsChild>
        <w:div w:id="1120997893">
          <w:marLeft w:val="480"/>
          <w:marRight w:val="0"/>
          <w:marTop w:val="0"/>
          <w:marBottom w:val="0"/>
          <w:divBdr>
            <w:top w:val="none" w:sz="0" w:space="0" w:color="auto"/>
            <w:left w:val="none" w:sz="0" w:space="0" w:color="auto"/>
            <w:bottom w:val="none" w:sz="0" w:space="0" w:color="auto"/>
            <w:right w:val="none" w:sz="0" w:space="0" w:color="auto"/>
          </w:divBdr>
          <w:divsChild>
            <w:div w:id="20630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91150">
      <w:bodyDiv w:val="1"/>
      <w:marLeft w:val="0"/>
      <w:marRight w:val="0"/>
      <w:marTop w:val="0"/>
      <w:marBottom w:val="0"/>
      <w:divBdr>
        <w:top w:val="none" w:sz="0" w:space="0" w:color="auto"/>
        <w:left w:val="none" w:sz="0" w:space="0" w:color="auto"/>
        <w:bottom w:val="none" w:sz="0" w:space="0" w:color="auto"/>
        <w:right w:val="none" w:sz="0" w:space="0" w:color="auto"/>
      </w:divBdr>
    </w:div>
    <w:div w:id="1635987489">
      <w:bodyDiv w:val="1"/>
      <w:marLeft w:val="0"/>
      <w:marRight w:val="0"/>
      <w:marTop w:val="0"/>
      <w:marBottom w:val="0"/>
      <w:divBdr>
        <w:top w:val="none" w:sz="0" w:space="0" w:color="auto"/>
        <w:left w:val="none" w:sz="0" w:space="0" w:color="auto"/>
        <w:bottom w:val="none" w:sz="0" w:space="0" w:color="auto"/>
        <w:right w:val="none" w:sz="0" w:space="0" w:color="auto"/>
      </w:divBdr>
      <w:divsChild>
        <w:div w:id="238562356">
          <w:marLeft w:val="480"/>
          <w:marRight w:val="0"/>
          <w:marTop w:val="0"/>
          <w:marBottom w:val="0"/>
          <w:divBdr>
            <w:top w:val="none" w:sz="0" w:space="0" w:color="auto"/>
            <w:left w:val="none" w:sz="0" w:space="0" w:color="auto"/>
            <w:bottom w:val="none" w:sz="0" w:space="0" w:color="auto"/>
            <w:right w:val="none" w:sz="0" w:space="0" w:color="auto"/>
          </w:divBdr>
          <w:divsChild>
            <w:div w:id="14918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34072">
      <w:bodyDiv w:val="1"/>
      <w:marLeft w:val="0"/>
      <w:marRight w:val="0"/>
      <w:marTop w:val="0"/>
      <w:marBottom w:val="0"/>
      <w:divBdr>
        <w:top w:val="none" w:sz="0" w:space="0" w:color="auto"/>
        <w:left w:val="none" w:sz="0" w:space="0" w:color="auto"/>
        <w:bottom w:val="none" w:sz="0" w:space="0" w:color="auto"/>
        <w:right w:val="none" w:sz="0" w:space="0" w:color="auto"/>
      </w:divBdr>
      <w:divsChild>
        <w:div w:id="1177038327">
          <w:marLeft w:val="480"/>
          <w:marRight w:val="0"/>
          <w:marTop w:val="0"/>
          <w:marBottom w:val="0"/>
          <w:divBdr>
            <w:top w:val="none" w:sz="0" w:space="0" w:color="auto"/>
            <w:left w:val="none" w:sz="0" w:space="0" w:color="auto"/>
            <w:bottom w:val="none" w:sz="0" w:space="0" w:color="auto"/>
            <w:right w:val="none" w:sz="0" w:space="0" w:color="auto"/>
          </w:divBdr>
          <w:divsChild>
            <w:div w:id="18351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18295">
      <w:bodyDiv w:val="1"/>
      <w:marLeft w:val="0"/>
      <w:marRight w:val="0"/>
      <w:marTop w:val="0"/>
      <w:marBottom w:val="0"/>
      <w:divBdr>
        <w:top w:val="none" w:sz="0" w:space="0" w:color="auto"/>
        <w:left w:val="none" w:sz="0" w:space="0" w:color="auto"/>
        <w:bottom w:val="none" w:sz="0" w:space="0" w:color="auto"/>
        <w:right w:val="none" w:sz="0" w:space="0" w:color="auto"/>
      </w:divBdr>
      <w:divsChild>
        <w:div w:id="2104690888">
          <w:marLeft w:val="480"/>
          <w:marRight w:val="0"/>
          <w:marTop w:val="0"/>
          <w:marBottom w:val="0"/>
          <w:divBdr>
            <w:top w:val="none" w:sz="0" w:space="0" w:color="auto"/>
            <w:left w:val="none" w:sz="0" w:space="0" w:color="auto"/>
            <w:bottom w:val="none" w:sz="0" w:space="0" w:color="auto"/>
            <w:right w:val="none" w:sz="0" w:space="0" w:color="auto"/>
          </w:divBdr>
          <w:divsChild>
            <w:div w:id="88356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80/10503307.2023.2241626" TargetMode="External"/><Relationship Id="rId13" Type="http://schemas.openxmlformats.org/officeDocument/2006/relationships/hyperlink" Target="https://doi.org/10.1371/journal.pone.0296071"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doi.org/10.1001/jamapsychiatry.2023.155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frontiersin.org/articles/10.3389/fpsyt.2022.91719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onlinelibrary.wiley.com/pb-assets/assets/14756811/Positionality-Statements-1621354517813.pdf" TargetMode="External"/><Relationship Id="rId4" Type="http://schemas.openxmlformats.org/officeDocument/2006/relationships/webSettings" Target="webSettings.xml"/><Relationship Id="rId9" Type="http://schemas.openxmlformats.org/officeDocument/2006/relationships/hyperlink" Target="https://doi.org/10.1080/19349637.2023.2177239"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usonainstitute.org/cont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1572F-A731-4DE4-B93B-9EBAC3A6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5915</Words>
  <Characters>33719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Palitsky, Roman</cp:lastModifiedBy>
  <cp:revision>22</cp:revision>
  <dcterms:created xsi:type="dcterms:W3CDTF">2024-08-06T20:00:00Z</dcterms:created>
  <dcterms:modified xsi:type="dcterms:W3CDTF">2024-08-09T13:22:00Z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id="aU0pkwng"/&gt;&lt;style id="http://www.zotero.org/styles/apa" locale="en-US" hasBibliography="1" bibliographyStyleHasBeenSet="1"/&gt;&lt;prefs&gt;&lt;pref name="fieldType" value="Field"/&gt;&lt;/prefs&gt;&lt;/data&gt;</vt:lpwstr>
  </property>
</Properties>
</file>